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284" w:rsidRPr="00D27CEA" w:rsidRDefault="002A2284" w:rsidP="00BF48C6">
      <w:pPr>
        <w:pStyle w:val="ListParagraph"/>
        <w:jc w:val="center"/>
        <w:rPr>
          <w:b/>
          <w:sz w:val="28"/>
          <w:szCs w:val="28"/>
        </w:rPr>
      </w:pPr>
      <w:r w:rsidRPr="00D27CEA">
        <w:rPr>
          <w:b/>
          <w:sz w:val="28"/>
          <w:szCs w:val="28"/>
        </w:rPr>
        <w:t>Clifford Holroyde Specialist SEN College</w:t>
      </w:r>
    </w:p>
    <w:p w:rsidR="002A2284" w:rsidRPr="00D27CEA" w:rsidRDefault="002A2284" w:rsidP="00BF48C6">
      <w:pPr>
        <w:rPr>
          <w:b/>
          <w:sz w:val="28"/>
          <w:szCs w:val="28"/>
        </w:rPr>
      </w:pPr>
      <w:r w:rsidRPr="00D27CEA">
        <w:rPr>
          <w:b/>
          <w:sz w:val="28"/>
          <w:szCs w:val="28"/>
        </w:rPr>
        <w:t>Exam and assessment results</w:t>
      </w:r>
      <w:r w:rsidR="00CF2A63" w:rsidRPr="00D27CEA">
        <w:rPr>
          <w:b/>
          <w:sz w:val="28"/>
          <w:szCs w:val="28"/>
        </w:rPr>
        <w:t xml:space="preserve"> – Oct 2017</w:t>
      </w:r>
    </w:p>
    <w:p w:rsidR="00F5537A" w:rsidRPr="00F5537A" w:rsidRDefault="00F5537A" w:rsidP="00F5537A">
      <w:pPr>
        <w:rPr>
          <w:sz w:val="28"/>
          <w:szCs w:val="28"/>
        </w:rPr>
      </w:pPr>
      <w:r w:rsidRPr="00F5537A">
        <w:rPr>
          <w:sz w:val="28"/>
          <w:szCs w:val="28"/>
        </w:rPr>
        <w:t>Note - The exam and assessment information below does refer to progress 8 or attainment 8 data. This is because the curriculum</w:t>
      </w:r>
      <w:r>
        <w:rPr>
          <w:sz w:val="28"/>
          <w:szCs w:val="28"/>
        </w:rPr>
        <w:t xml:space="preserve"> that the student</w:t>
      </w:r>
      <w:r w:rsidRPr="00F5537A">
        <w:rPr>
          <w:sz w:val="28"/>
          <w:szCs w:val="28"/>
        </w:rPr>
        <w:t>s follow is different from a mainstream provision and therefore the progress 8 and attainment 8 does not give a reflect</w:t>
      </w:r>
      <w:r>
        <w:rPr>
          <w:sz w:val="28"/>
          <w:szCs w:val="28"/>
        </w:rPr>
        <w:t>ion of student</w:t>
      </w:r>
      <w:r w:rsidRPr="00F5537A">
        <w:rPr>
          <w:sz w:val="28"/>
          <w:szCs w:val="28"/>
        </w:rPr>
        <w:t xml:space="preserve"> progress.</w:t>
      </w:r>
    </w:p>
    <w:p w:rsidR="00F5537A" w:rsidRDefault="00F5537A" w:rsidP="00F5537A">
      <w:pPr>
        <w:pBdr>
          <w:bottom w:val="single" w:sz="12" w:space="1" w:color="auto"/>
        </w:pBdr>
        <w:rPr>
          <w:sz w:val="28"/>
          <w:szCs w:val="28"/>
        </w:rPr>
      </w:pPr>
      <w:r w:rsidRPr="00F5537A">
        <w:rPr>
          <w:sz w:val="28"/>
          <w:szCs w:val="28"/>
        </w:rPr>
        <w:t>Note - The information below only displays achievement data for the school based students who attend on the main school site. A number of students at Clifford Holroyde access an alternative education provision that is vocational based. An analysis of this data can be provided in a separate report upon request.</w:t>
      </w:r>
    </w:p>
    <w:p w:rsidR="00CF2A63" w:rsidRDefault="00CF2A63" w:rsidP="00F5537A">
      <w:pPr>
        <w:pBdr>
          <w:bottom w:val="single" w:sz="12" w:space="1" w:color="auto"/>
        </w:pBdr>
        <w:rPr>
          <w:sz w:val="28"/>
          <w:szCs w:val="28"/>
        </w:rPr>
      </w:pPr>
    </w:p>
    <w:p w:rsidR="00F5537A" w:rsidRPr="00F5537A" w:rsidRDefault="00F5537A" w:rsidP="00F5537A">
      <w:pPr>
        <w:rPr>
          <w:sz w:val="28"/>
          <w:szCs w:val="28"/>
        </w:rPr>
      </w:pPr>
    </w:p>
    <w:p w:rsidR="002A2284" w:rsidRDefault="002A2284" w:rsidP="002A2284">
      <w:pPr>
        <w:rPr>
          <w:sz w:val="28"/>
          <w:szCs w:val="28"/>
        </w:rPr>
      </w:pPr>
      <w:r w:rsidRPr="002A2284">
        <w:rPr>
          <w:sz w:val="28"/>
          <w:szCs w:val="28"/>
        </w:rPr>
        <w:t xml:space="preserve">The following assessment data </w:t>
      </w:r>
      <w:r w:rsidR="00441255">
        <w:rPr>
          <w:sz w:val="28"/>
          <w:szCs w:val="28"/>
        </w:rPr>
        <w:t>for the 2016/17</w:t>
      </w:r>
      <w:r>
        <w:rPr>
          <w:sz w:val="28"/>
          <w:szCs w:val="28"/>
        </w:rPr>
        <w:t xml:space="preserve"> academic year </w:t>
      </w:r>
      <w:r w:rsidRPr="002A2284">
        <w:rPr>
          <w:sz w:val="28"/>
          <w:szCs w:val="28"/>
        </w:rPr>
        <w:t>is published in this report;</w:t>
      </w:r>
    </w:p>
    <w:p w:rsidR="00441255" w:rsidRPr="00EB6717" w:rsidRDefault="00441255" w:rsidP="00441255">
      <w:pPr>
        <w:pStyle w:val="ListParagraph"/>
        <w:numPr>
          <w:ilvl w:val="0"/>
          <w:numId w:val="6"/>
        </w:numPr>
        <w:jc w:val="both"/>
        <w:rPr>
          <w:sz w:val="28"/>
          <w:szCs w:val="28"/>
        </w:rPr>
      </w:pPr>
      <w:r w:rsidRPr="00EB6717">
        <w:rPr>
          <w:sz w:val="28"/>
          <w:szCs w:val="28"/>
        </w:rPr>
        <w:t>Comparative analysis of teacher assessments against expected progress.</w:t>
      </w:r>
    </w:p>
    <w:p w:rsidR="00441255" w:rsidRPr="00EB6717" w:rsidRDefault="00441255" w:rsidP="00441255">
      <w:pPr>
        <w:pStyle w:val="ListParagraph"/>
        <w:numPr>
          <w:ilvl w:val="0"/>
          <w:numId w:val="6"/>
        </w:numPr>
        <w:jc w:val="both"/>
        <w:rPr>
          <w:sz w:val="28"/>
          <w:szCs w:val="28"/>
        </w:rPr>
      </w:pPr>
      <w:r w:rsidRPr="00EB6717">
        <w:rPr>
          <w:sz w:val="28"/>
          <w:szCs w:val="28"/>
        </w:rPr>
        <w:t>ASPA analysis of progress from baseline assessment on admission.</w:t>
      </w:r>
    </w:p>
    <w:p w:rsidR="00441255" w:rsidRPr="00EB6717" w:rsidRDefault="00441255" w:rsidP="00441255">
      <w:pPr>
        <w:pStyle w:val="ListParagraph"/>
        <w:numPr>
          <w:ilvl w:val="0"/>
          <w:numId w:val="6"/>
        </w:numPr>
        <w:jc w:val="both"/>
        <w:rPr>
          <w:sz w:val="28"/>
          <w:szCs w:val="28"/>
        </w:rPr>
      </w:pPr>
      <w:r w:rsidRPr="00EB6717">
        <w:rPr>
          <w:sz w:val="28"/>
          <w:szCs w:val="28"/>
        </w:rPr>
        <w:t>Sub-group analysis.</w:t>
      </w:r>
    </w:p>
    <w:p w:rsidR="00441255" w:rsidRPr="00EB6717" w:rsidRDefault="00441255" w:rsidP="00441255">
      <w:pPr>
        <w:pStyle w:val="ListParagraph"/>
        <w:numPr>
          <w:ilvl w:val="0"/>
          <w:numId w:val="6"/>
        </w:numPr>
        <w:rPr>
          <w:sz w:val="28"/>
          <w:szCs w:val="28"/>
        </w:rPr>
      </w:pPr>
      <w:r w:rsidRPr="00EB6717">
        <w:rPr>
          <w:sz w:val="28"/>
          <w:szCs w:val="28"/>
        </w:rPr>
        <w:t>Comparison of final teacher assessments against GCSE/BTEC grades achieved.</w:t>
      </w:r>
    </w:p>
    <w:p w:rsidR="00EF0977" w:rsidRDefault="00441255" w:rsidP="00EF0977">
      <w:pPr>
        <w:pStyle w:val="ListParagraph"/>
        <w:numPr>
          <w:ilvl w:val="0"/>
          <w:numId w:val="6"/>
        </w:numPr>
        <w:rPr>
          <w:sz w:val="28"/>
          <w:szCs w:val="28"/>
        </w:rPr>
      </w:pPr>
      <w:r w:rsidRPr="00EB6717">
        <w:rPr>
          <w:sz w:val="28"/>
          <w:szCs w:val="28"/>
        </w:rPr>
        <w:t>Staff and student voice analysis.</w:t>
      </w:r>
    </w:p>
    <w:p w:rsidR="00EF0977" w:rsidRPr="00EF0977" w:rsidRDefault="00EF0977" w:rsidP="00EF0977">
      <w:pPr>
        <w:pStyle w:val="ListParagraph"/>
        <w:numPr>
          <w:ilvl w:val="0"/>
          <w:numId w:val="6"/>
        </w:numPr>
        <w:rPr>
          <w:sz w:val="28"/>
          <w:szCs w:val="28"/>
        </w:rPr>
      </w:pPr>
      <w:r>
        <w:rPr>
          <w:sz w:val="28"/>
          <w:szCs w:val="28"/>
        </w:rPr>
        <w:t>Student destination information</w:t>
      </w:r>
    </w:p>
    <w:p w:rsidR="002A2284" w:rsidRPr="00441255" w:rsidRDefault="002A2284" w:rsidP="00441255">
      <w:pPr>
        <w:rPr>
          <w:b/>
          <w:sz w:val="28"/>
          <w:szCs w:val="28"/>
          <w:u w:val="single"/>
        </w:rPr>
      </w:pPr>
    </w:p>
    <w:p w:rsidR="00680D2C" w:rsidRPr="00D27CEA" w:rsidRDefault="00680D2C" w:rsidP="002A2284">
      <w:pPr>
        <w:pStyle w:val="ListParagraph"/>
        <w:numPr>
          <w:ilvl w:val="0"/>
          <w:numId w:val="5"/>
        </w:numPr>
        <w:jc w:val="center"/>
        <w:rPr>
          <w:b/>
          <w:sz w:val="28"/>
          <w:szCs w:val="28"/>
        </w:rPr>
      </w:pPr>
      <w:r w:rsidRPr="00D27CEA">
        <w:rPr>
          <w:b/>
          <w:sz w:val="28"/>
          <w:szCs w:val="28"/>
        </w:rPr>
        <w:t xml:space="preserve">COMPARATIVE ANALYSIS OF TEACHER ASSESSMENTS AGAINST </w:t>
      </w:r>
      <w:r w:rsidR="00746811" w:rsidRPr="00D27CEA">
        <w:rPr>
          <w:b/>
          <w:sz w:val="28"/>
          <w:szCs w:val="28"/>
        </w:rPr>
        <w:t>“EXPECTED PROGRESS” FOR THE 2015/16</w:t>
      </w:r>
      <w:r w:rsidRPr="00D27CEA">
        <w:rPr>
          <w:b/>
          <w:sz w:val="28"/>
          <w:szCs w:val="28"/>
        </w:rPr>
        <w:t xml:space="preserve"> ACADEMIC YEAR.</w:t>
      </w:r>
    </w:p>
    <w:p w:rsidR="00680D2C" w:rsidRPr="009254A8" w:rsidRDefault="00680D2C" w:rsidP="00680D2C">
      <w:pPr>
        <w:rPr>
          <w:b/>
          <w:sz w:val="28"/>
          <w:szCs w:val="28"/>
          <w:u w:val="single"/>
        </w:rPr>
      </w:pPr>
    </w:p>
    <w:p w:rsidR="00680D2C" w:rsidRPr="009254A8" w:rsidRDefault="00680D2C" w:rsidP="00680D2C">
      <w:pPr>
        <w:rPr>
          <w:color w:val="0070C0"/>
          <w:sz w:val="28"/>
          <w:szCs w:val="28"/>
        </w:rPr>
      </w:pPr>
      <w:r w:rsidRPr="009254A8">
        <w:rPr>
          <w:sz w:val="28"/>
          <w:szCs w:val="28"/>
        </w:rPr>
        <w:t xml:space="preserve">This analysis uses termly teacher assessment data for school based </w:t>
      </w:r>
      <w:r>
        <w:rPr>
          <w:sz w:val="28"/>
          <w:szCs w:val="28"/>
        </w:rPr>
        <w:t>student</w:t>
      </w:r>
      <w:r w:rsidR="00441255">
        <w:rPr>
          <w:sz w:val="28"/>
          <w:szCs w:val="28"/>
        </w:rPr>
        <w:t>s for the 2016/17</w:t>
      </w:r>
      <w:r w:rsidRPr="009254A8">
        <w:rPr>
          <w:sz w:val="28"/>
          <w:szCs w:val="28"/>
        </w:rPr>
        <w:t xml:space="preserve"> academic year.</w:t>
      </w:r>
      <w:r w:rsidRPr="009254A8">
        <w:rPr>
          <w:color w:val="0070C0"/>
          <w:sz w:val="28"/>
          <w:szCs w:val="28"/>
        </w:rPr>
        <w:t xml:space="preserve"> </w:t>
      </w:r>
      <w:r w:rsidRPr="00015D37">
        <w:rPr>
          <w:sz w:val="28"/>
          <w:szCs w:val="28"/>
        </w:rPr>
        <w:t>A whole school analysis has been produced</w:t>
      </w:r>
      <w:r w:rsidR="00417EBC">
        <w:rPr>
          <w:sz w:val="28"/>
          <w:szCs w:val="28"/>
        </w:rPr>
        <w:t>.</w:t>
      </w:r>
    </w:p>
    <w:p w:rsidR="00680D2C" w:rsidRPr="009254A8" w:rsidRDefault="00680D2C" w:rsidP="00680D2C">
      <w:pPr>
        <w:rPr>
          <w:b/>
          <w:color w:val="0070C0"/>
          <w:sz w:val="28"/>
          <w:szCs w:val="28"/>
          <w:u w:val="single"/>
        </w:rPr>
      </w:pPr>
    </w:p>
    <w:p w:rsidR="00680D2C" w:rsidRPr="00D27CEA" w:rsidRDefault="00680D2C" w:rsidP="00680D2C">
      <w:pPr>
        <w:rPr>
          <w:b/>
          <w:sz w:val="28"/>
          <w:szCs w:val="28"/>
        </w:rPr>
      </w:pPr>
      <w:r w:rsidRPr="00D27CEA">
        <w:rPr>
          <w:b/>
          <w:sz w:val="28"/>
          <w:szCs w:val="28"/>
        </w:rPr>
        <w:t>National Standards</w:t>
      </w:r>
    </w:p>
    <w:p w:rsidR="00680D2C" w:rsidRDefault="001A6F51" w:rsidP="00680D2C">
      <w:pPr>
        <w:rPr>
          <w:sz w:val="28"/>
          <w:szCs w:val="28"/>
        </w:rPr>
      </w:pPr>
      <w:r>
        <w:rPr>
          <w:sz w:val="28"/>
          <w:szCs w:val="28"/>
        </w:rPr>
        <w:t xml:space="preserve">The school continues to use a </w:t>
      </w:r>
      <w:r w:rsidR="009B2849">
        <w:rPr>
          <w:sz w:val="28"/>
          <w:szCs w:val="28"/>
        </w:rPr>
        <w:t>levelling</w:t>
      </w:r>
      <w:r>
        <w:rPr>
          <w:sz w:val="28"/>
          <w:szCs w:val="28"/>
        </w:rPr>
        <w:t xml:space="preserve"> process for assessing pupil progress. This assessment process works on the principle that pupils are expected to make three levels of progress</w:t>
      </w:r>
      <w:r w:rsidR="00680D2C" w:rsidRPr="009254A8">
        <w:rPr>
          <w:sz w:val="28"/>
          <w:szCs w:val="28"/>
        </w:rPr>
        <w:t xml:space="preserve"> from the end of key stage 2 to the end of key stage 4</w:t>
      </w:r>
      <w:r>
        <w:rPr>
          <w:sz w:val="28"/>
          <w:szCs w:val="28"/>
        </w:rPr>
        <w:t xml:space="preserve">. This principle is used </w:t>
      </w:r>
      <w:r w:rsidR="00680D2C" w:rsidRPr="009254A8">
        <w:rPr>
          <w:sz w:val="28"/>
          <w:szCs w:val="28"/>
        </w:rPr>
        <w:t xml:space="preserve">to calculate annual and termly expected progress as shown below. </w:t>
      </w:r>
      <w:r w:rsidR="00680D2C">
        <w:rPr>
          <w:sz w:val="28"/>
          <w:szCs w:val="28"/>
        </w:rPr>
        <w:t>This provides a yardstick for measuring progress as well as enabling progress comparisons to be made with previous years.</w:t>
      </w:r>
    </w:p>
    <w:p w:rsidR="00680D2C" w:rsidRPr="00441255" w:rsidRDefault="00680D2C" w:rsidP="00680D2C">
      <w:pPr>
        <w:rPr>
          <w:sz w:val="28"/>
          <w:szCs w:val="28"/>
        </w:rPr>
      </w:pPr>
      <w:r w:rsidRPr="00441255">
        <w:rPr>
          <w:sz w:val="28"/>
          <w:szCs w:val="28"/>
        </w:rPr>
        <w:t>*From this point on, a sub-level or sub-grade of progress will be referred to as a “step” of progress.</w:t>
      </w:r>
    </w:p>
    <w:p w:rsidR="00680D2C" w:rsidRPr="009254A8" w:rsidRDefault="00680D2C" w:rsidP="00680D2C">
      <w:pPr>
        <w:rPr>
          <w:color w:val="0070C0"/>
          <w:sz w:val="28"/>
          <w:szCs w:val="28"/>
        </w:rPr>
      </w:pPr>
    </w:p>
    <w:p w:rsidR="00680D2C" w:rsidRPr="00D12C0B" w:rsidRDefault="00680D2C" w:rsidP="00680D2C">
      <w:pPr>
        <w:rPr>
          <w:b/>
          <w:sz w:val="28"/>
          <w:szCs w:val="28"/>
        </w:rPr>
      </w:pPr>
      <w:r w:rsidRPr="00D12C0B">
        <w:rPr>
          <w:b/>
          <w:sz w:val="28"/>
          <w:szCs w:val="28"/>
        </w:rPr>
        <w:t>Expected progress over one academic year is 1.8 steps.</w:t>
      </w:r>
    </w:p>
    <w:p w:rsidR="00680D2C" w:rsidRPr="00D12C0B" w:rsidRDefault="00680D2C" w:rsidP="00680D2C">
      <w:pPr>
        <w:spacing w:after="0"/>
        <w:rPr>
          <w:sz w:val="28"/>
          <w:szCs w:val="28"/>
        </w:rPr>
      </w:pPr>
      <w:r>
        <w:rPr>
          <w:sz w:val="28"/>
          <w:szCs w:val="28"/>
        </w:rPr>
        <w:t>(Calculation:</w:t>
      </w:r>
      <w:r>
        <w:rPr>
          <w:sz w:val="28"/>
          <w:szCs w:val="28"/>
        </w:rPr>
        <w:tab/>
      </w:r>
      <w:r>
        <w:rPr>
          <w:sz w:val="28"/>
          <w:szCs w:val="28"/>
        </w:rPr>
        <w:tab/>
      </w:r>
    </w:p>
    <w:p w:rsidR="00680D2C" w:rsidRPr="00D12C0B" w:rsidRDefault="00680D2C" w:rsidP="00680D2C">
      <w:pPr>
        <w:spacing w:after="0"/>
        <w:rPr>
          <w:sz w:val="28"/>
          <w:szCs w:val="28"/>
        </w:rPr>
      </w:pPr>
      <w:r w:rsidRPr="00D12C0B">
        <w:rPr>
          <w:sz w:val="28"/>
          <w:szCs w:val="28"/>
        </w:rPr>
        <w:t>Expected progress from KS2 to KS4</w:t>
      </w:r>
      <w:r w:rsidRPr="00D12C0B">
        <w:rPr>
          <w:sz w:val="28"/>
          <w:szCs w:val="28"/>
        </w:rPr>
        <w:tab/>
        <w:t xml:space="preserve">  = 3 levels = 9 steps</w:t>
      </w:r>
    </w:p>
    <w:p w:rsidR="00680D2C" w:rsidRPr="00D12C0B" w:rsidRDefault="00680D2C" w:rsidP="00680D2C">
      <w:pPr>
        <w:spacing w:after="0"/>
        <w:rPr>
          <w:sz w:val="28"/>
          <w:szCs w:val="28"/>
        </w:rPr>
      </w:pPr>
      <w:r w:rsidRPr="00D12C0B">
        <w:rPr>
          <w:sz w:val="28"/>
          <w:szCs w:val="28"/>
        </w:rPr>
        <w:t xml:space="preserve">Expected progress for 1 academic year = 9 steps </w:t>
      </w:r>
      <w:r w:rsidRPr="00D12C0B">
        <w:rPr>
          <w:rFonts w:cstheme="minorHAnsi"/>
          <w:sz w:val="28"/>
          <w:szCs w:val="28"/>
        </w:rPr>
        <w:t xml:space="preserve">÷ </w:t>
      </w:r>
      <w:r w:rsidRPr="00D12C0B">
        <w:rPr>
          <w:sz w:val="28"/>
          <w:szCs w:val="28"/>
        </w:rPr>
        <w:t xml:space="preserve">5 years </w:t>
      </w:r>
    </w:p>
    <w:p w:rsidR="00680D2C" w:rsidRDefault="00680D2C" w:rsidP="00680D2C">
      <w:pPr>
        <w:spacing w:after="0"/>
        <w:ind w:left="3600" w:firstLine="720"/>
        <w:rPr>
          <w:sz w:val="28"/>
          <w:szCs w:val="28"/>
        </w:rPr>
      </w:pPr>
      <w:r w:rsidRPr="00D12C0B">
        <w:rPr>
          <w:sz w:val="28"/>
          <w:szCs w:val="28"/>
        </w:rPr>
        <w:t xml:space="preserve">  = 1.8 steps per year)</w:t>
      </w:r>
    </w:p>
    <w:p w:rsidR="009E2577" w:rsidRDefault="009E2577"/>
    <w:p w:rsidR="00680D2C" w:rsidRPr="00D27CEA" w:rsidRDefault="00680D2C" w:rsidP="00680D2C">
      <w:pPr>
        <w:rPr>
          <w:b/>
          <w:sz w:val="28"/>
          <w:szCs w:val="28"/>
        </w:rPr>
      </w:pPr>
      <w:r w:rsidRPr="00D27CEA">
        <w:rPr>
          <w:b/>
          <w:sz w:val="28"/>
          <w:szCs w:val="28"/>
        </w:rPr>
        <w:t>WHOLE SCHOOL ANALYSIS</w:t>
      </w:r>
    </w:p>
    <w:p w:rsidR="00441255" w:rsidRPr="00C45E6F" w:rsidRDefault="00441255" w:rsidP="00441255">
      <w:pPr>
        <w:rPr>
          <w:sz w:val="28"/>
          <w:szCs w:val="28"/>
        </w:rPr>
      </w:pPr>
      <w:r w:rsidRPr="00C45E6F">
        <w:rPr>
          <w:sz w:val="28"/>
          <w:szCs w:val="28"/>
        </w:rPr>
        <w:t>Total number of steps of progress</w:t>
      </w:r>
      <w:r w:rsidRPr="00C45E6F">
        <w:rPr>
          <w:sz w:val="28"/>
          <w:szCs w:val="28"/>
        </w:rPr>
        <w:tab/>
      </w:r>
      <w:r w:rsidRPr="00C45E6F">
        <w:rPr>
          <w:sz w:val="28"/>
          <w:szCs w:val="28"/>
        </w:rPr>
        <w:tab/>
      </w:r>
      <w:r w:rsidRPr="00C45E6F">
        <w:rPr>
          <w:sz w:val="28"/>
          <w:szCs w:val="28"/>
        </w:rPr>
        <w:tab/>
      </w:r>
      <w:r w:rsidRPr="00C45E6F">
        <w:rPr>
          <w:sz w:val="28"/>
          <w:szCs w:val="28"/>
        </w:rPr>
        <w:tab/>
        <w:t>=</w:t>
      </w:r>
      <w:r w:rsidRPr="00C45E6F">
        <w:rPr>
          <w:sz w:val="28"/>
          <w:szCs w:val="28"/>
        </w:rPr>
        <w:tab/>
        <w:t>297</w:t>
      </w:r>
    </w:p>
    <w:p w:rsidR="00441255" w:rsidRPr="00C45E6F" w:rsidRDefault="00441255" w:rsidP="00441255">
      <w:pPr>
        <w:rPr>
          <w:sz w:val="28"/>
          <w:szCs w:val="28"/>
        </w:rPr>
      </w:pPr>
      <w:r w:rsidRPr="00C45E6F">
        <w:rPr>
          <w:sz w:val="28"/>
          <w:szCs w:val="28"/>
        </w:rPr>
        <w:t>Total number of subjects for all students</w:t>
      </w:r>
      <w:r w:rsidRPr="00C45E6F">
        <w:rPr>
          <w:sz w:val="28"/>
          <w:szCs w:val="28"/>
        </w:rPr>
        <w:tab/>
      </w:r>
      <w:r w:rsidRPr="00C45E6F">
        <w:rPr>
          <w:sz w:val="28"/>
          <w:szCs w:val="28"/>
        </w:rPr>
        <w:tab/>
      </w:r>
      <w:r w:rsidRPr="00C45E6F">
        <w:rPr>
          <w:sz w:val="28"/>
          <w:szCs w:val="28"/>
        </w:rPr>
        <w:tab/>
        <w:t>=</w:t>
      </w:r>
      <w:r w:rsidRPr="00C45E6F">
        <w:rPr>
          <w:sz w:val="28"/>
          <w:szCs w:val="28"/>
        </w:rPr>
        <w:tab/>
        <w:t>181</w:t>
      </w:r>
    </w:p>
    <w:p w:rsidR="00441255" w:rsidRPr="00C45E6F" w:rsidRDefault="00441255" w:rsidP="00441255">
      <w:pPr>
        <w:rPr>
          <w:rFonts w:eastAsiaTheme="minorEastAsia"/>
          <w:sz w:val="28"/>
          <w:szCs w:val="28"/>
        </w:rPr>
      </w:pPr>
      <w:r w:rsidRPr="00C45E6F">
        <w:rPr>
          <w:sz w:val="28"/>
          <w:szCs w:val="28"/>
        </w:rPr>
        <w:t>Average progress for all students across all subjects</w:t>
      </w:r>
      <w:r w:rsidRPr="00C45E6F">
        <w:rPr>
          <w:sz w:val="28"/>
          <w:szCs w:val="28"/>
        </w:rPr>
        <w:tab/>
        <w:t>=</w:t>
      </w:r>
      <w:r w:rsidRPr="00C45E6F">
        <w:rPr>
          <w:sz w:val="28"/>
          <w:szCs w:val="28"/>
        </w:rPr>
        <w:tab/>
      </w:r>
      <m:oMath>
        <m:f>
          <m:fPr>
            <m:ctrlPr>
              <w:rPr>
                <w:rFonts w:ascii="Cambria Math" w:hAnsi="Cambria Math"/>
                <w:i/>
                <w:sz w:val="28"/>
                <w:szCs w:val="28"/>
              </w:rPr>
            </m:ctrlPr>
          </m:fPr>
          <m:num>
            <m:r>
              <w:rPr>
                <w:rFonts w:ascii="Cambria Math" w:hAnsi="Cambria Math"/>
                <w:sz w:val="28"/>
                <w:szCs w:val="28"/>
              </w:rPr>
              <m:t>297</m:t>
            </m:r>
          </m:num>
          <m:den>
            <m:r>
              <w:rPr>
                <w:rFonts w:ascii="Cambria Math" w:hAnsi="Cambria Math"/>
                <w:sz w:val="28"/>
                <w:szCs w:val="28"/>
              </w:rPr>
              <m:t>181</m:t>
            </m:r>
          </m:den>
        </m:f>
      </m:oMath>
    </w:p>
    <w:p w:rsidR="00441255" w:rsidRPr="00C45E6F" w:rsidRDefault="00441255" w:rsidP="00441255">
      <w:pPr>
        <w:spacing w:after="0"/>
        <w:rPr>
          <w:rFonts w:eastAsiaTheme="minorEastAsia"/>
          <w:b/>
          <w:sz w:val="28"/>
          <w:szCs w:val="28"/>
        </w:rPr>
      </w:pPr>
      <w:r w:rsidRPr="00C45E6F">
        <w:rPr>
          <w:rFonts w:eastAsiaTheme="minorEastAsia"/>
          <w:sz w:val="28"/>
          <w:szCs w:val="28"/>
        </w:rPr>
        <w:tab/>
      </w:r>
      <w:r w:rsidRPr="00C45E6F">
        <w:rPr>
          <w:rFonts w:eastAsiaTheme="minorEastAsia"/>
          <w:sz w:val="28"/>
          <w:szCs w:val="28"/>
        </w:rPr>
        <w:tab/>
      </w:r>
      <w:r w:rsidRPr="00C45E6F">
        <w:rPr>
          <w:rFonts w:eastAsiaTheme="minorEastAsia"/>
          <w:sz w:val="28"/>
          <w:szCs w:val="28"/>
        </w:rPr>
        <w:tab/>
      </w:r>
      <w:r w:rsidRPr="00C45E6F">
        <w:rPr>
          <w:rFonts w:eastAsiaTheme="minorEastAsia"/>
          <w:sz w:val="28"/>
          <w:szCs w:val="28"/>
        </w:rPr>
        <w:tab/>
      </w:r>
      <w:r w:rsidRPr="00C45E6F">
        <w:rPr>
          <w:rFonts w:eastAsiaTheme="minorEastAsia"/>
          <w:sz w:val="28"/>
          <w:szCs w:val="28"/>
        </w:rPr>
        <w:tab/>
      </w:r>
      <w:r w:rsidRPr="00C45E6F">
        <w:rPr>
          <w:rFonts w:eastAsiaTheme="minorEastAsia"/>
          <w:sz w:val="28"/>
          <w:szCs w:val="28"/>
        </w:rPr>
        <w:tab/>
      </w:r>
      <w:r w:rsidRPr="00C45E6F">
        <w:rPr>
          <w:rFonts w:eastAsiaTheme="minorEastAsia"/>
          <w:sz w:val="28"/>
          <w:szCs w:val="28"/>
        </w:rPr>
        <w:tab/>
      </w:r>
      <w:r w:rsidRPr="00C45E6F">
        <w:rPr>
          <w:rFonts w:eastAsiaTheme="minorEastAsia"/>
          <w:sz w:val="28"/>
          <w:szCs w:val="28"/>
        </w:rPr>
        <w:tab/>
      </w:r>
      <w:r w:rsidRPr="00C45E6F">
        <w:rPr>
          <w:rFonts w:eastAsiaTheme="minorEastAsia"/>
          <w:sz w:val="28"/>
          <w:szCs w:val="28"/>
        </w:rPr>
        <w:tab/>
      </w:r>
      <w:r w:rsidRPr="00C45E6F">
        <w:rPr>
          <w:rFonts w:eastAsiaTheme="minorEastAsia"/>
          <w:b/>
          <w:sz w:val="28"/>
          <w:szCs w:val="28"/>
        </w:rPr>
        <w:t>=</w:t>
      </w:r>
      <w:r w:rsidRPr="00C45E6F">
        <w:rPr>
          <w:rFonts w:eastAsiaTheme="minorEastAsia"/>
          <w:b/>
          <w:sz w:val="28"/>
          <w:szCs w:val="28"/>
        </w:rPr>
        <w:tab/>
        <w:t>1.6 steps</w:t>
      </w:r>
    </w:p>
    <w:p w:rsidR="00464E3B" w:rsidRPr="00C91B1A" w:rsidRDefault="00464E3B" w:rsidP="00464E3B">
      <w:pPr>
        <w:spacing w:after="0"/>
        <w:rPr>
          <w:sz w:val="28"/>
          <w:szCs w:val="28"/>
        </w:rPr>
      </w:pPr>
      <w:r w:rsidRPr="00C91B1A">
        <w:rPr>
          <w:sz w:val="28"/>
          <w:szCs w:val="28"/>
        </w:rPr>
        <w:t>Average progress for all students across all su</w:t>
      </w:r>
      <w:r w:rsidR="00441255">
        <w:rPr>
          <w:sz w:val="28"/>
          <w:szCs w:val="28"/>
        </w:rPr>
        <w:t>bjects is 1.6 steps for the 2016/17</w:t>
      </w:r>
      <w:r w:rsidRPr="00C91B1A">
        <w:rPr>
          <w:sz w:val="28"/>
          <w:szCs w:val="28"/>
        </w:rPr>
        <w:t xml:space="preserve"> academic year. This is approaching the 1.8 steps threshold for expected progress in an academic year.</w:t>
      </w:r>
    </w:p>
    <w:p w:rsidR="00464E3B" w:rsidRPr="00C91B1A" w:rsidRDefault="00464E3B" w:rsidP="00464E3B">
      <w:pPr>
        <w:spacing w:after="0"/>
        <w:rPr>
          <w:sz w:val="28"/>
          <w:szCs w:val="28"/>
        </w:rPr>
      </w:pPr>
    </w:p>
    <w:p w:rsidR="00464E3B" w:rsidRPr="00C91B1A" w:rsidRDefault="00464E3B" w:rsidP="00464E3B">
      <w:pPr>
        <w:shd w:val="clear" w:color="auto" w:fill="FFFF00"/>
        <w:rPr>
          <w:b/>
          <w:sz w:val="28"/>
          <w:szCs w:val="28"/>
        </w:rPr>
      </w:pPr>
      <w:r>
        <w:rPr>
          <w:b/>
          <w:sz w:val="28"/>
          <w:szCs w:val="28"/>
        </w:rPr>
        <w:t>This demonstrates in line with expected</w:t>
      </w:r>
      <w:r w:rsidRPr="00C91B1A">
        <w:rPr>
          <w:b/>
          <w:sz w:val="28"/>
          <w:szCs w:val="28"/>
        </w:rPr>
        <w:t xml:space="preserve"> pr</w:t>
      </w:r>
      <w:r>
        <w:rPr>
          <w:b/>
          <w:sz w:val="28"/>
          <w:szCs w:val="28"/>
        </w:rPr>
        <w:t>ogress across the school</w:t>
      </w:r>
      <w:r w:rsidRPr="00C91B1A">
        <w:rPr>
          <w:b/>
          <w:sz w:val="28"/>
          <w:szCs w:val="28"/>
        </w:rPr>
        <w:t>.</w:t>
      </w:r>
    </w:p>
    <w:p w:rsidR="009B2849" w:rsidRDefault="009B2849" w:rsidP="009B2849">
      <w:pPr>
        <w:rPr>
          <w:b/>
          <w:sz w:val="28"/>
          <w:szCs w:val="28"/>
          <w:u w:val="single"/>
        </w:rPr>
      </w:pPr>
    </w:p>
    <w:p w:rsidR="009B2849" w:rsidRPr="00D27CEA" w:rsidRDefault="009B2849" w:rsidP="009B2849">
      <w:pPr>
        <w:spacing w:after="0"/>
        <w:rPr>
          <w:b/>
          <w:sz w:val="28"/>
          <w:szCs w:val="28"/>
        </w:rPr>
      </w:pPr>
      <w:r w:rsidRPr="00D27CEA">
        <w:rPr>
          <w:b/>
          <w:sz w:val="28"/>
          <w:szCs w:val="28"/>
        </w:rPr>
        <w:t>Whole School Progress Trend</w:t>
      </w:r>
    </w:p>
    <w:p w:rsidR="009B2849" w:rsidRPr="00EF526A" w:rsidRDefault="009B2849" w:rsidP="009B2849">
      <w:pPr>
        <w:spacing w:after="0"/>
        <w:rPr>
          <w:b/>
          <w:sz w:val="28"/>
          <w:szCs w:val="28"/>
          <w:u w:val="single"/>
        </w:rPr>
      </w:pPr>
    </w:p>
    <w:p w:rsidR="009B2849" w:rsidRDefault="009B2849" w:rsidP="009B2849">
      <w:pPr>
        <w:spacing w:after="0"/>
        <w:rPr>
          <w:sz w:val="28"/>
          <w:szCs w:val="28"/>
        </w:rPr>
      </w:pPr>
      <w:r w:rsidRPr="00EF526A">
        <w:rPr>
          <w:sz w:val="28"/>
          <w:szCs w:val="28"/>
        </w:rPr>
        <w:t xml:space="preserve">The table below shows the mean number of steps of progress </w:t>
      </w:r>
      <w:r>
        <w:rPr>
          <w:sz w:val="28"/>
          <w:szCs w:val="28"/>
        </w:rPr>
        <w:t xml:space="preserve">per student across all subjects </w:t>
      </w:r>
      <w:r w:rsidRPr="00EF526A">
        <w:rPr>
          <w:sz w:val="28"/>
          <w:szCs w:val="28"/>
        </w:rPr>
        <w:t>over</w:t>
      </w:r>
      <w:r>
        <w:rPr>
          <w:sz w:val="28"/>
          <w:szCs w:val="28"/>
        </w:rPr>
        <w:t xml:space="preserve"> the last three years</w:t>
      </w:r>
      <w:r w:rsidRPr="00EF526A">
        <w:rPr>
          <w:sz w:val="28"/>
          <w:szCs w:val="28"/>
        </w:rPr>
        <w:t>.</w:t>
      </w:r>
    </w:p>
    <w:p w:rsidR="009B2849" w:rsidRPr="00EF526A" w:rsidRDefault="009B2849" w:rsidP="009B2849">
      <w:pPr>
        <w:spacing w:after="0"/>
        <w:rPr>
          <w:sz w:val="28"/>
          <w:szCs w:val="28"/>
        </w:rPr>
      </w:pPr>
    </w:p>
    <w:tbl>
      <w:tblPr>
        <w:tblStyle w:val="TableGrid"/>
        <w:tblW w:w="0" w:type="auto"/>
        <w:tblLook w:val="04A0" w:firstRow="1" w:lastRow="0" w:firstColumn="1" w:lastColumn="0" w:noHBand="0" w:noVBand="1"/>
      </w:tblPr>
      <w:tblGrid>
        <w:gridCol w:w="3020"/>
        <w:gridCol w:w="5996"/>
      </w:tblGrid>
      <w:tr w:rsidR="009B2849" w:rsidRPr="00EF526A" w:rsidTr="00812C06">
        <w:tc>
          <w:tcPr>
            <w:tcW w:w="3020" w:type="dxa"/>
          </w:tcPr>
          <w:p w:rsidR="009B2849" w:rsidRPr="00EF526A" w:rsidRDefault="009B2849" w:rsidP="00812C06">
            <w:pPr>
              <w:jc w:val="center"/>
              <w:rPr>
                <w:b/>
                <w:sz w:val="28"/>
                <w:szCs w:val="28"/>
              </w:rPr>
            </w:pPr>
            <w:r>
              <w:rPr>
                <w:b/>
                <w:sz w:val="28"/>
                <w:szCs w:val="28"/>
              </w:rPr>
              <w:t>ACADEMIC YEAR</w:t>
            </w:r>
          </w:p>
        </w:tc>
        <w:tc>
          <w:tcPr>
            <w:tcW w:w="5996" w:type="dxa"/>
          </w:tcPr>
          <w:p w:rsidR="009B2849" w:rsidRPr="00EF526A" w:rsidRDefault="009B2849" w:rsidP="00812C06">
            <w:pPr>
              <w:jc w:val="center"/>
              <w:rPr>
                <w:b/>
                <w:sz w:val="28"/>
                <w:szCs w:val="28"/>
              </w:rPr>
            </w:pPr>
            <w:r w:rsidRPr="00EF526A">
              <w:rPr>
                <w:b/>
                <w:sz w:val="28"/>
                <w:szCs w:val="28"/>
              </w:rPr>
              <w:t>MEAN NUMBER OF STEPS OF PROGRESS</w:t>
            </w:r>
          </w:p>
        </w:tc>
      </w:tr>
      <w:tr w:rsidR="009B2849" w:rsidRPr="00EF526A" w:rsidTr="00812C06">
        <w:tc>
          <w:tcPr>
            <w:tcW w:w="3020" w:type="dxa"/>
          </w:tcPr>
          <w:p w:rsidR="009B2849" w:rsidRPr="00EF526A" w:rsidRDefault="009B2849" w:rsidP="00812C06">
            <w:pPr>
              <w:jc w:val="center"/>
              <w:rPr>
                <w:sz w:val="28"/>
                <w:szCs w:val="28"/>
              </w:rPr>
            </w:pPr>
            <w:r>
              <w:rPr>
                <w:sz w:val="28"/>
                <w:szCs w:val="28"/>
              </w:rPr>
              <w:t>2012/13</w:t>
            </w:r>
          </w:p>
        </w:tc>
        <w:tc>
          <w:tcPr>
            <w:tcW w:w="5996" w:type="dxa"/>
          </w:tcPr>
          <w:p w:rsidR="009B2849" w:rsidRPr="00EF526A" w:rsidRDefault="009B2849" w:rsidP="00812C06">
            <w:pPr>
              <w:jc w:val="center"/>
              <w:rPr>
                <w:sz w:val="28"/>
                <w:szCs w:val="28"/>
              </w:rPr>
            </w:pPr>
            <w:r>
              <w:rPr>
                <w:sz w:val="28"/>
                <w:szCs w:val="28"/>
              </w:rPr>
              <w:t>1.5</w:t>
            </w:r>
          </w:p>
        </w:tc>
      </w:tr>
      <w:tr w:rsidR="009B2849" w:rsidRPr="00EF526A" w:rsidTr="00812C06">
        <w:tc>
          <w:tcPr>
            <w:tcW w:w="3020" w:type="dxa"/>
          </w:tcPr>
          <w:p w:rsidR="009B2849" w:rsidRPr="00EF526A" w:rsidRDefault="009B2849" w:rsidP="00812C06">
            <w:pPr>
              <w:jc w:val="center"/>
              <w:rPr>
                <w:sz w:val="28"/>
                <w:szCs w:val="28"/>
              </w:rPr>
            </w:pPr>
            <w:r>
              <w:rPr>
                <w:sz w:val="28"/>
                <w:szCs w:val="28"/>
              </w:rPr>
              <w:t>2013/14</w:t>
            </w:r>
          </w:p>
        </w:tc>
        <w:tc>
          <w:tcPr>
            <w:tcW w:w="5996" w:type="dxa"/>
          </w:tcPr>
          <w:p w:rsidR="009B2849" w:rsidRPr="00EF526A" w:rsidRDefault="009B2849" w:rsidP="00812C06">
            <w:pPr>
              <w:jc w:val="center"/>
              <w:rPr>
                <w:sz w:val="28"/>
                <w:szCs w:val="28"/>
              </w:rPr>
            </w:pPr>
            <w:r w:rsidRPr="00EF526A">
              <w:rPr>
                <w:sz w:val="28"/>
                <w:szCs w:val="28"/>
              </w:rPr>
              <w:t>1.</w:t>
            </w:r>
            <w:r>
              <w:rPr>
                <w:sz w:val="28"/>
                <w:szCs w:val="28"/>
              </w:rPr>
              <w:t>6</w:t>
            </w:r>
          </w:p>
        </w:tc>
      </w:tr>
      <w:tr w:rsidR="009B2849" w:rsidRPr="00EF526A" w:rsidTr="00812C06">
        <w:tc>
          <w:tcPr>
            <w:tcW w:w="3020" w:type="dxa"/>
          </w:tcPr>
          <w:p w:rsidR="009B2849" w:rsidRPr="00EF526A" w:rsidRDefault="009B2849" w:rsidP="00812C06">
            <w:pPr>
              <w:jc w:val="center"/>
              <w:rPr>
                <w:sz w:val="28"/>
                <w:szCs w:val="28"/>
              </w:rPr>
            </w:pPr>
            <w:r>
              <w:rPr>
                <w:sz w:val="28"/>
                <w:szCs w:val="28"/>
              </w:rPr>
              <w:t>2014/15</w:t>
            </w:r>
          </w:p>
        </w:tc>
        <w:tc>
          <w:tcPr>
            <w:tcW w:w="5996" w:type="dxa"/>
          </w:tcPr>
          <w:p w:rsidR="009B2849" w:rsidRPr="00EF526A" w:rsidRDefault="009B2849" w:rsidP="00812C06">
            <w:pPr>
              <w:jc w:val="center"/>
              <w:rPr>
                <w:sz w:val="28"/>
                <w:szCs w:val="28"/>
              </w:rPr>
            </w:pPr>
            <w:r>
              <w:rPr>
                <w:sz w:val="28"/>
                <w:szCs w:val="28"/>
              </w:rPr>
              <w:t>1.9</w:t>
            </w:r>
          </w:p>
        </w:tc>
      </w:tr>
      <w:tr w:rsidR="00746811" w:rsidRPr="00EF526A" w:rsidTr="00812C06">
        <w:tc>
          <w:tcPr>
            <w:tcW w:w="3020" w:type="dxa"/>
          </w:tcPr>
          <w:p w:rsidR="00746811" w:rsidRDefault="00746811" w:rsidP="00812C06">
            <w:pPr>
              <w:jc w:val="center"/>
              <w:rPr>
                <w:sz w:val="28"/>
                <w:szCs w:val="28"/>
              </w:rPr>
            </w:pPr>
            <w:r>
              <w:rPr>
                <w:sz w:val="28"/>
                <w:szCs w:val="28"/>
              </w:rPr>
              <w:t>2015/16</w:t>
            </w:r>
          </w:p>
        </w:tc>
        <w:tc>
          <w:tcPr>
            <w:tcW w:w="5996" w:type="dxa"/>
          </w:tcPr>
          <w:p w:rsidR="00746811" w:rsidRDefault="00746811" w:rsidP="00812C06">
            <w:pPr>
              <w:jc w:val="center"/>
              <w:rPr>
                <w:sz w:val="28"/>
                <w:szCs w:val="28"/>
              </w:rPr>
            </w:pPr>
            <w:r>
              <w:rPr>
                <w:sz w:val="28"/>
                <w:szCs w:val="28"/>
              </w:rPr>
              <w:t>1.6</w:t>
            </w:r>
          </w:p>
        </w:tc>
      </w:tr>
      <w:tr w:rsidR="00441255" w:rsidRPr="00EF526A" w:rsidTr="00812C06">
        <w:tc>
          <w:tcPr>
            <w:tcW w:w="3020" w:type="dxa"/>
          </w:tcPr>
          <w:p w:rsidR="00441255" w:rsidRPr="00C45E6F" w:rsidRDefault="00441255" w:rsidP="00441255">
            <w:pPr>
              <w:jc w:val="center"/>
              <w:rPr>
                <w:sz w:val="28"/>
                <w:szCs w:val="28"/>
              </w:rPr>
            </w:pPr>
            <w:r w:rsidRPr="00C45E6F">
              <w:rPr>
                <w:sz w:val="28"/>
                <w:szCs w:val="28"/>
              </w:rPr>
              <w:t>2016/17</w:t>
            </w:r>
          </w:p>
        </w:tc>
        <w:tc>
          <w:tcPr>
            <w:tcW w:w="5996" w:type="dxa"/>
          </w:tcPr>
          <w:p w:rsidR="00441255" w:rsidRPr="00C45E6F" w:rsidRDefault="00441255" w:rsidP="00441255">
            <w:pPr>
              <w:jc w:val="center"/>
              <w:rPr>
                <w:sz w:val="28"/>
                <w:szCs w:val="28"/>
              </w:rPr>
            </w:pPr>
            <w:r w:rsidRPr="00C45E6F">
              <w:rPr>
                <w:sz w:val="28"/>
                <w:szCs w:val="28"/>
              </w:rPr>
              <w:t>1.6</w:t>
            </w:r>
          </w:p>
        </w:tc>
      </w:tr>
    </w:tbl>
    <w:p w:rsidR="009B2849" w:rsidRPr="00EF526A" w:rsidRDefault="009B2849" w:rsidP="009B2849">
      <w:pPr>
        <w:rPr>
          <w:sz w:val="28"/>
          <w:szCs w:val="28"/>
        </w:rPr>
      </w:pPr>
    </w:p>
    <w:p w:rsidR="009B2849" w:rsidRPr="00EF526A" w:rsidRDefault="009B2849" w:rsidP="009B2849">
      <w:pPr>
        <w:rPr>
          <w:b/>
          <w:sz w:val="28"/>
          <w:szCs w:val="28"/>
          <w:u w:val="single"/>
        </w:rPr>
      </w:pPr>
    </w:p>
    <w:p w:rsidR="009B2849" w:rsidRDefault="009B2849" w:rsidP="009B2849">
      <w:pPr>
        <w:spacing w:after="0"/>
        <w:rPr>
          <w:sz w:val="28"/>
          <w:szCs w:val="28"/>
        </w:rPr>
      </w:pPr>
    </w:p>
    <w:p w:rsidR="00746811" w:rsidRDefault="00441255" w:rsidP="009B2849">
      <w:pPr>
        <w:spacing w:after="0"/>
        <w:rPr>
          <w:sz w:val="28"/>
          <w:szCs w:val="28"/>
        </w:rPr>
      </w:pPr>
      <w:r w:rsidRPr="00C45E6F">
        <w:rPr>
          <w:noProof/>
          <w:sz w:val="28"/>
          <w:szCs w:val="28"/>
          <w:lang w:eastAsia="en-GB"/>
        </w:rPr>
        <w:drawing>
          <wp:inline distT="0" distB="0" distL="0" distR="0" wp14:anchorId="16BADF32" wp14:editId="1A113757">
            <wp:extent cx="5720080" cy="3095625"/>
            <wp:effectExtent l="0" t="0" r="1397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6811" w:rsidRDefault="00746811" w:rsidP="009B2849">
      <w:pPr>
        <w:spacing w:after="0"/>
        <w:rPr>
          <w:sz w:val="28"/>
          <w:szCs w:val="28"/>
        </w:rPr>
      </w:pPr>
    </w:p>
    <w:p w:rsidR="00441255" w:rsidRPr="00C45E6F" w:rsidRDefault="00441255" w:rsidP="00441255">
      <w:pPr>
        <w:rPr>
          <w:sz w:val="28"/>
          <w:szCs w:val="28"/>
        </w:rPr>
      </w:pPr>
      <w:r w:rsidRPr="00C45E6F">
        <w:rPr>
          <w:sz w:val="28"/>
          <w:szCs w:val="28"/>
        </w:rPr>
        <w:t>The chart shows that the trend for the average number of steps of progress per student is increasing over this five year period.</w:t>
      </w:r>
    </w:p>
    <w:p w:rsidR="00746811" w:rsidRPr="00C91B1A" w:rsidRDefault="00746811" w:rsidP="00746811">
      <w:pPr>
        <w:shd w:val="clear" w:color="auto" w:fill="FFFF00"/>
        <w:spacing w:after="0"/>
        <w:rPr>
          <w:rFonts w:eastAsiaTheme="minorEastAsia"/>
          <w:b/>
          <w:sz w:val="28"/>
          <w:szCs w:val="28"/>
        </w:rPr>
      </w:pPr>
      <w:r w:rsidRPr="00C91B1A">
        <w:rPr>
          <w:rFonts w:eastAsiaTheme="minorEastAsia"/>
          <w:b/>
          <w:sz w:val="28"/>
          <w:szCs w:val="28"/>
        </w:rPr>
        <w:t>This</w:t>
      </w:r>
      <w:r>
        <w:rPr>
          <w:rFonts w:eastAsiaTheme="minorEastAsia"/>
          <w:b/>
          <w:sz w:val="28"/>
          <w:szCs w:val="28"/>
        </w:rPr>
        <w:t xml:space="preserve"> demonstrates improving</w:t>
      </w:r>
      <w:r w:rsidRPr="00C91B1A">
        <w:rPr>
          <w:rFonts w:eastAsiaTheme="minorEastAsia"/>
          <w:b/>
          <w:sz w:val="28"/>
          <w:szCs w:val="28"/>
        </w:rPr>
        <w:t xml:space="preserve"> whole school progress.</w:t>
      </w:r>
    </w:p>
    <w:p w:rsidR="00680D2C" w:rsidRDefault="00680D2C"/>
    <w:p w:rsidR="00CF2A63" w:rsidRDefault="00CF2A63"/>
    <w:p w:rsidR="00680D2C" w:rsidRPr="00D27CEA" w:rsidRDefault="00680D2C" w:rsidP="00DD74B8">
      <w:pPr>
        <w:pStyle w:val="ListParagraph"/>
        <w:numPr>
          <w:ilvl w:val="0"/>
          <w:numId w:val="5"/>
        </w:numPr>
        <w:jc w:val="center"/>
        <w:rPr>
          <w:b/>
          <w:sz w:val="28"/>
          <w:szCs w:val="28"/>
        </w:rPr>
      </w:pPr>
      <w:r w:rsidRPr="00D27CEA">
        <w:rPr>
          <w:b/>
          <w:sz w:val="28"/>
          <w:szCs w:val="28"/>
        </w:rPr>
        <w:t>ANALYSIS OF PROGRESS FROM BASELINE ASSESSMENT ON ADMISSION</w:t>
      </w:r>
    </w:p>
    <w:p w:rsidR="00680D2C" w:rsidRPr="001C765D" w:rsidRDefault="00680D2C" w:rsidP="00680D2C">
      <w:pPr>
        <w:rPr>
          <w:sz w:val="28"/>
          <w:szCs w:val="28"/>
        </w:rPr>
      </w:pPr>
      <w:r w:rsidRPr="001C765D">
        <w:rPr>
          <w:sz w:val="28"/>
          <w:szCs w:val="28"/>
        </w:rPr>
        <w:t xml:space="preserve">As a Specialist SEN College, Clifford Holroyde admits only a minority of its </w:t>
      </w:r>
      <w:r>
        <w:rPr>
          <w:sz w:val="28"/>
          <w:szCs w:val="28"/>
        </w:rPr>
        <w:t>student</w:t>
      </w:r>
      <w:r w:rsidRPr="001C765D">
        <w:rPr>
          <w:sz w:val="28"/>
          <w:szCs w:val="28"/>
        </w:rPr>
        <w:t xml:space="preserve">s at the start of Year 7, the majority are admitted at various times during Key Stage 3 or Key Stage 4. Due to the nature of the </w:t>
      </w:r>
      <w:r>
        <w:rPr>
          <w:sz w:val="28"/>
          <w:szCs w:val="28"/>
        </w:rPr>
        <w:t>student</w:t>
      </w:r>
      <w:r w:rsidRPr="001C765D">
        <w:rPr>
          <w:sz w:val="28"/>
          <w:szCs w:val="28"/>
        </w:rPr>
        <w:t xml:space="preserve">s admitted, they may have underachieved for months, or even years, prior to joining Clifford Holroyde. Consequently, it would be unfair to judge this school’s impact on </w:t>
      </w:r>
      <w:r>
        <w:rPr>
          <w:sz w:val="28"/>
          <w:szCs w:val="28"/>
        </w:rPr>
        <w:t>student</w:t>
      </w:r>
      <w:r w:rsidRPr="001C765D">
        <w:rPr>
          <w:sz w:val="28"/>
          <w:szCs w:val="28"/>
        </w:rPr>
        <w:t>s’ progress until they are admitted to the school. It is important that two key factors are taken into account so that progress can be measured fairly and realistically. They are:</w:t>
      </w:r>
    </w:p>
    <w:p w:rsidR="00680D2C" w:rsidRPr="001C765D" w:rsidRDefault="00680D2C" w:rsidP="00680D2C">
      <w:pPr>
        <w:pStyle w:val="ListParagraph"/>
        <w:numPr>
          <w:ilvl w:val="0"/>
          <w:numId w:val="1"/>
        </w:numPr>
        <w:rPr>
          <w:sz w:val="28"/>
          <w:szCs w:val="28"/>
        </w:rPr>
      </w:pPr>
      <w:r w:rsidRPr="001C765D">
        <w:rPr>
          <w:sz w:val="28"/>
          <w:szCs w:val="28"/>
        </w:rPr>
        <w:t>Baseline assessments on admission to the school.</w:t>
      </w:r>
    </w:p>
    <w:p w:rsidR="00680D2C" w:rsidRDefault="00680D2C" w:rsidP="00680D2C">
      <w:pPr>
        <w:pStyle w:val="ListParagraph"/>
        <w:numPr>
          <w:ilvl w:val="0"/>
          <w:numId w:val="1"/>
        </w:numPr>
        <w:rPr>
          <w:sz w:val="28"/>
          <w:szCs w:val="28"/>
        </w:rPr>
      </w:pPr>
      <w:r w:rsidRPr="001C765D">
        <w:rPr>
          <w:sz w:val="28"/>
          <w:szCs w:val="28"/>
        </w:rPr>
        <w:t>Number of terms since admission to the school.</w:t>
      </w:r>
    </w:p>
    <w:p w:rsidR="00680D2C" w:rsidRPr="001C765D" w:rsidRDefault="00680D2C" w:rsidP="00680D2C">
      <w:pPr>
        <w:spacing w:after="0"/>
        <w:rPr>
          <w:sz w:val="28"/>
          <w:szCs w:val="28"/>
        </w:rPr>
      </w:pPr>
      <w:r>
        <w:rPr>
          <w:sz w:val="28"/>
          <w:szCs w:val="28"/>
        </w:rPr>
        <w:t>For this reason, the “average student progress since admission” (ASPA) is calculated and used as a measure against</w:t>
      </w:r>
      <w:r w:rsidRPr="001C765D">
        <w:rPr>
          <w:sz w:val="28"/>
          <w:szCs w:val="28"/>
        </w:rPr>
        <w:t xml:space="preserve"> “expected progress per term”</w:t>
      </w:r>
      <w:r>
        <w:rPr>
          <w:sz w:val="28"/>
          <w:szCs w:val="28"/>
        </w:rPr>
        <w:t xml:space="preserve"> of </w:t>
      </w:r>
      <w:r w:rsidRPr="001C765D">
        <w:rPr>
          <w:sz w:val="28"/>
          <w:szCs w:val="28"/>
        </w:rPr>
        <w:t>0.6 steps</w:t>
      </w:r>
      <w:r>
        <w:rPr>
          <w:sz w:val="28"/>
          <w:szCs w:val="28"/>
        </w:rPr>
        <w:t xml:space="preserve"> (</w:t>
      </w:r>
      <w:r w:rsidRPr="001C765D">
        <w:rPr>
          <w:sz w:val="28"/>
          <w:szCs w:val="28"/>
        </w:rPr>
        <w:t>as explained previously on page 4)</w:t>
      </w:r>
      <w:r>
        <w:rPr>
          <w:sz w:val="28"/>
          <w:szCs w:val="28"/>
        </w:rPr>
        <w:t>. The calculation for the ASPA uses “actual progress per term” for</w:t>
      </w:r>
      <w:r w:rsidRPr="001C765D">
        <w:rPr>
          <w:sz w:val="28"/>
          <w:szCs w:val="28"/>
        </w:rPr>
        <w:t xml:space="preserve"> English</w:t>
      </w:r>
      <w:r>
        <w:rPr>
          <w:sz w:val="28"/>
          <w:szCs w:val="28"/>
        </w:rPr>
        <w:t>, maths</w:t>
      </w:r>
      <w:r w:rsidRPr="001C765D">
        <w:rPr>
          <w:sz w:val="28"/>
          <w:szCs w:val="28"/>
        </w:rPr>
        <w:t xml:space="preserve"> and science</w:t>
      </w:r>
      <w:r>
        <w:rPr>
          <w:sz w:val="28"/>
          <w:szCs w:val="28"/>
        </w:rPr>
        <w:t xml:space="preserve"> (</w:t>
      </w:r>
      <w:r w:rsidRPr="001C765D">
        <w:rPr>
          <w:sz w:val="28"/>
          <w:szCs w:val="28"/>
        </w:rPr>
        <w:t>see calculation below for “</w:t>
      </w:r>
      <w:r>
        <w:rPr>
          <w:sz w:val="28"/>
          <w:szCs w:val="28"/>
        </w:rPr>
        <w:t>a</w:t>
      </w:r>
      <w:r w:rsidRPr="001C765D">
        <w:rPr>
          <w:sz w:val="28"/>
          <w:szCs w:val="28"/>
        </w:rPr>
        <w:t>ctual progress per term”)</w:t>
      </w:r>
      <w:r>
        <w:rPr>
          <w:sz w:val="28"/>
          <w:szCs w:val="28"/>
        </w:rPr>
        <w:t>.</w:t>
      </w:r>
    </w:p>
    <w:p w:rsidR="00680D2C" w:rsidRPr="001C765D" w:rsidRDefault="00680D2C" w:rsidP="00680D2C">
      <w:pPr>
        <w:spacing w:after="0"/>
        <w:rPr>
          <w:sz w:val="28"/>
          <w:szCs w:val="28"/>
        </w:rPr>
      </w:pPr>
    </w:p>
    <w:p w:rsidR="00680D2C" w:rsidRPr="00365C4B" w:rsidRDefault="00680D2C" w:rsidP="00680D2C">
      <w:pPr>
        <w:spacing w:after="120"/>
        <w:rPr>
          <w:sz w:val="28"/>
          <w:szCs w:val="28"/>
        </w:rPr>
      </w:pPr>
      <w:r w:rsidRPr="00365C4B">
        <w:rPr>
          <w:sz w:val="28"/>
          <w:szCs w:val="28"/>
        </w:rPr>
        <w:t>Calculation:</w:t>
      </w:r>
    </w:p>
    <w:p w:rsidR="00680D2C" w:rsidRPr="00365C4B" w:rsidRDefault="00680D2C" w:rsidP="00680D2C">
      <w:pPr>
        <w:spacing w:after="0"/>
        <w:rPr>
          <w:b/>
          <w:sz w:val="28"/>
          <w:szCs w:val="28"/>
        </w:rPr>
      </w:pPr>
      <w:r w:rsidRPr="00365C4B">
        <w:rPr>
          <w:b/>
          <w:sz w:val="28"/>
          <w:szCs w:val="28"/>
        </w:rPr>
        <w:t>Actual progress per term</w:t>
      </w:r>
    </w:p>
    <w:p w:rsidR="00680D2C" w:rsidRPr="00365C4B" w:rsidRDefault="00680D2C" w:rsidP="00680D2C">
      <w:pPr>
        <w:spacing w:after="0"/>
        <w:ind w:left="720"/>
        <w:rPr>
          <w:b/>
          <w:sz w:val="28"/>
          <w:szCs w:val="28"/>
        </w:rPr>
      </w:pPr>
      <w:r w:rsidRPr="00365C4B">
        <w:rPr>
          <w:b/>
          <w:sz w:val="28"/>
          <w:szCs w:val="28"/>
        </w:rPr>
        <w:t xml:space="preserve">= </w:t>
      </w:r>
      <w:r w:rsidRPr="00365C4B">
        <w:rPr>
          <w:b/>
          <w:sz w:val="28"/>
          <w:szCs w:val="28"/>
          <w:u w:val="single"/>
        </w:rPr>
        <w:t xml:space="preserve">Number of steps of progress from “baseline on admission” to </w:t>
      </w:r>
      <w:r>
        <w:rPr>
          <w:b/>
          <w:sz w:val="28"/>
          <w:szCs w:val="28"/>
          <w:u w:val="single"/>
        </w:rPr>
        <w:t>present</w:t>
      </w:r>
    </w:p>
    <w:p w:rsidR="00680D2C" w:rsidRPr="00365C4B" w:rsidRDefault="00680D2C" w:rsidP="00680D2C">
      <w:pPr>
        <w:spacing w:after="0"/>
        <w:ind w:left="2880"/>
        <w:rPr>
          <w:b/>
          <w:sz w:val="28"/>
          <w:szCs w:val="28"/>
        </w:rPr>
      </w:pPr>
      <w:r w:rsidRPr="00365C4B">
        <w:rPr>
          <w:rFonts w:cstheme="minorHAnsi"/>
          <w:b/>
          <w:sz w:val="28"/>
          <w:szCs w:val="28"/>
        </w:rPr>
        <w:t xml:space="preserve">     </w:t>
      </w:r>
      <w:r w:rsidRPr="00365C4B">
        <w:rPr>
          <w:b/>
          <w:sz w:val="28"/>
          <w:szCs w:val="28"/>
        </w:rPr>
        <w:t>Number of terms since admission</w:t>
      </w:r>
    </w:p>
    <w:p w:rsidR="00680D2C" w:rsidRDefault="00680D2C" w:rsidP="00680D2C">
      <w:pPr>
        <w:spacing w:after="0"/>
        <w:rPr>
          <w:color w:val="0070C0"/>
          <w:sz w:val="28"/>
          <w:szCs w:val="28"/>
        </w:rPr>
      </w:pPr>
    </w:p>
    <w:p w:rsidR="00680D2C" w:rsidRPr="009254A8" w:rsidRDefault="00680D2C" w:rsidP="00680D2C">
      <w:pPr>
        <w:spacing w:after="0"/>
        <w:rPr>
          <w:color w:val="0070C0"/>
          <w:sz w:val="28"/>
          <w:szCs w:val="28"/>
        </w:rPr>
      </w:pPr>
    </w:p>
    <w:p w:rsidR="00680D2C" w:rsidRPr="00D27CEA" w:rsidRDefault="00680D2C" w:rsidP="00680D2C">
      <w:pPr>
        <w:rPr>
          <w:b/>
          <w:sz w:val="28"/>
          <w:szCs w:val="28"/>
        </w:rPr>
      </w:pPr>
      <w:r w:rsidRPr="00D27CEA">
        <w:rPr>
          <w:b/>
          <w:sz w:val="28"/>
          <w:szCs w:val="28"/>
        </w:rPr>
        <w:t>Average Student Progress since Admission (ASPA)</w:t>
      </w:r>
    </w:p>
    <w:p w:rsidR="00680D2C" w:rsidRDefault="00680D2C" w:rsidP="00680D2C">
      <w:pPr>
        <w:rPr>
          <w:sz w:val="28"/>
          <w:szCs w:val="28"/>
        </w:rPr>
      </w:pPr>
      <w:r>
        <w:rPr>
          <w:sz w:val="28"/>
          <w:szCs w:val="28"/>
        </w:rPr>
        <w:t xml:space="preserve">This is a key indicator of academic progress and measures progress across all core subjects from admission to present. A termly core progress ASPA figure is calculated for each student. This can then be used to calculate an ASPA figure </w:t>
      </w:r>
      <w:r>
        <w:rPr>
          <w:sz w:val="28"/>
          <w:szCs w:val="28"/>
        </w:rPr>
        <w:lastRenderedPageBreak/>
        <w:t xml:space="preserve">for the whole school population. The ASPA is a powerful way to measure both individual student core progress and also to measure whole school core progress, for comparison with “expected progress” of 0.6 steps per term. </w:t>
      </w:r>
    </w:p>
    <w:p w:rsidR="00680D2C" w:rsidRPr="00D546D6" w:rsidRDefault="00680D2C" w:rsidP="00680D2C">
      <w:pPr>
        <w:spacing w:after="0"/>
        <w:rPr>
          <w:sz w:val="28"/>
          <w:szCs w:val="28"/>
        </w:rPr>
      </w:pPr>
      <w:r>
        <w:rPr>
          <w:sz w:val="28"/>
          <w:szCs w:val="28"/>
        </w:rPr>
        <w:t>Calculation:</w:t>
      </w:r>
    </w:p>
    <w:p w:rsidR="00680D2C" w:rsidRPr="007F3133" w:rsidRDefault="00680D2C" w:rsidP="00680D2C">
      <w:pPr>
        <w:spacing w:after="0"/>
        <w:ind w:firstLine="720"/>
        <w:rPr>
          <w:b/>
          <w:sz w:val="28"/>
          <w:szCs w:val="28"/>
          <w:u w:val="single"/>
        </w:rPr>
      </w:pPr>
      <w:r w:rsidRPr="007F3133">
        <w:rPr>
          <w:b/>
          <w:sz w:val="28"/>
          <w:szCs w:val="28"/>
        </w:rPr>
        <w:t>ASPA</w:t>
      </w:r>
      <w:r w:rsidRPr="007F3133">
        <w:rPr>
          <w:b/>
          <w:sz w:val="28"/>
          <w:szCs w:val="28"/>
        </w:rPr>
        <w:tab/>
        <w:t xml:space="preserve">   =</w:t>
      </w:r>
      <w:r w:rsidRPr="007F3133">
        <w:rPr>
          <w:b/>
          <w:sz w:val="28"/>
          <w:szCs w:val="28"/>
        </w:rPr>
        <w:tab/>
      </w:r>
      <w:r w:rsidRPr="007F3133">
        <w:rPr>
          <w:b/>
          <w:sz w:val="28"/>
          <w:szCs w:val="28"/>
          <w:u w:val="single"/>
        </w:rPr>
        <w:t>(English + maths + science) actual progress per term</w:t>
      </w:r>
      <w:r w:rsidRPr="007F3133">
        <w:rPr>
          <w:b/>
          <w:sz w:val="28"/>
          <w:szCs w:val="28"/>
        </w:rPr>
        <w:tab/>
      </w:r>
      <w:r w:rsidRPr="007F3133">
        <w:rPr>
          <w:b/>
          <w:sz w:val="28"/>
          <w:szCs w:val="28"/>
        </w:rPr>
        <w:tab/>
      </w:r>
      <w:r w:rsidRPr="007F3133">
        <w:rPr>
          <w:b/>
          <w:sz w:val="28"/>
          <w:szCs w:val="28"/>
        </w:rPr>
        <w:tab/>
      </w:r>
      <w:r w:rsidRPr="007F3133">
        <w:rPr>
          <w:b/>
          <w:sz w:val="28"/>
          <w:szCs w:val="28"/>
        </w:rPr>
        <w:tab/>
      </w:r>
      <w:r w:rsidRPr="007F3133">
        <w:rPr>
          <w:b/>
          <w:sz w:val="28"/>
          <w:szCs w:val="28"/>
        </w:rPr>
        <w:tab/>
      </w:r>
      <w:r w:rsidRPr="007F3133">
        <w:rPr>
          <w:b/>
          <w:sz w:val="28"/>
          <w:szCs w:val="28"/>
        </w:rPr>
        <w:tab/>
      </w:r>
      <w:r w:rsidRPr="007F3133">
        <w:rPr>
          <w:b/>
          <w:sz w:val="28"/>
          <w:szCs w:val="28"/>
        </w:rPr>
        <w:tab/>
      </w:r>
      <w:r w:rsidRPr="007F3133">
        <w:rPr>
          <w:b/>
          <w:sz w:val="28"/>
          <w:szCs w:val="28"/>
        </w:rPr>
        <w:tab/>
        <w:t>3</w:t>
      </w:r>
    </w:p>
    <w:p w:rsidR="00680D2C" w:rsidRDefault="00680D2C" w:rsidP="00680D2C">
      <w:pPr>
        <w:rPr>
          <w:sz w:val="28"/>
          <w:szCs w:val="28"/>
        </w:rPr>
      </w:pPr>
      <w:r>
        <w:rPr>
          <w:sz w:val="28"/>
          <w:szCs w:val="28"/>
        </w:rPr>
        <w:t>“Average student progress since admission” (ASPA) can also be used to measure progress for sub-groups within the school in order to compare performance of that sub-group against the performance of the whole school population.</w:t>
      </w:r>
    </w:p>
    <w:p w:rsidR="00680D2C" w:rsidRDefault="00680D2C" w:rsidP="00680D2C">
      <w:pPr>
        <w:rPr>
          <w:sz w:val="28"/>
          <w:szCs w:val="28"/>
        </w:rPr>
      </w:pPr>
    </w:p>
    <w:p w:rsidR="00680D2C" w:rsidRPr="000600BD" w:rsidRDefault="00680D2C" w:rsidP="00680D2C">
      <w:pPr>
        <w:rPr>
          <w:b/>
          <w:sz w:val="28"/>
          <w:szCs w:val="28"/>
          <w:u w:val="single"/>
        </w:rPr>
      </w:pPr>
      <w:r w:rsidRPr="000600BD">
        <w:rPr>
          <w:b/>
          <w:sz w:val="28"/>
          <w:szCs w:val="28"/>
          <w:u w:val="single"/>
        </w:rPr>
        <w:t>Overall Core Progress</w:t>
      </w:r>
    </w:p>
    <w:p w:rsidR="009B2849" w:rsidRPr="005408BA" w:rsidRDefault="009B2849" w:rsidP="009B2849">
      <w:pPr>
        <w:rPr>
          <w:sz w:val="28"/>
          <w:szCs w:val="28"/>
        </w:rPr>
      </w:pPr>
      <w:r w:rsidRPr="005408BA">
        <w:rPr>
          <w:sz w:val="28"/>
          <w:szCs w:val="28"/>
        </w:rPr>
        <w:t>The ASPA is used to measure overall core progress for the whole school. This takes into account progress for all students from admission to present in English, maths and science.</w:t>
      </w:r>
    </w:p>
    <w:p w:rsidR="009B2849" w:rsidRPr="005408BA" w:rsidRDefault="009B2849" w:rsidP="009B2849">
      <w:pPr>
        <w:spacing w:after="0"/>
        <w:rPr>
          <w:sz w:val="28"/>
          <w:szCs w:val="28"/>
        </w:rPr>
      </w:pPr>
      <w:r w:rsidRPr="005408BA">
        <w:rPr>
          <w:sz w:val="28"/>
          <w:szCs w:val="28"/>
        </w:rPr>
        <w:tab/>
      </w:r>
    </w:p>
    <w:p w:rsidR="009B2849" w:rsidRPr="000E488A" w:rsidRDefault="009B2849" w:rsidP="009B2849">
      <w:pPr>
        <w:spacing w:after="0"/>
        <w:ind w:firstLine="720"/>
        <w:rPr>
          <w:sz w:val="28"/>
          <w:szCs w:val="28"/>
        </w:rPr>
      </w:pPr>
      <w:r w:rsidRPr="005408BA">
        <w:rPr>
          <w:sz w:val="28"/>
          <w:szCs w:val="28"/>
        </w:rPr>
        <w:t>Whole school ASPA</w:t>
      </w:r>
      <w:r w:rsidRPr="005408BA">
        <w:rPr>
          <w:sz w:val="28"/>
          <w:szCs w:val="28"/>
        </w:rPr>
        <w:tab/>
        <w:t>=</w:t>
      </w:r>
      <w:r w:rsidRPr="005408BA">
        <w:rPr>
          <w:sz w:val="28"/>
          <w:szCs w:val="28"/>
        </w:rPr>
        <w:tab/>
      </w:r>
      <w:r w:rsidRPr="005408BA">
        <w:rPr>
          <w:sz w:val="28"/>
          <w:szCs w:val="28"/>
          <w:u w:val="single"/>
        </w:rPr>
        <w:t xml:space="preserve">Total of all student </w:t>
      </w:r>
      <w:r w:rsidRPr="000E488A">
        <w:rPr>
          <w:sz w:val="28"/>
          <w:szCs w:val="28"/>
          <w:u w:val="single"/>
        </w:rPr>
        <w:t>ASPAs</w:t>
      </w:r>
      <w:r w:rsidRPr="000E488A">
        <w:rPr>
          <w:sz w:val="28"/>
          <w:szCs w:val="28"/>
        </w:rPr>
        <w:t>*</w:t>
      </w:r>
    </w:p>
    <w:p w:rsidR="009B2849" w:rsidRPr="005408BA" w:rsidRDefault="009B2849" w:rsidP="009B2849">
      <w:pPr>
        <w:spacing w:after="0"/>
        <w:rPr>
          <w:sz w:val="28"/>
          <w:szCs w:val="28"/>
        </w:rPr>
      </w:pPr>
      <w:r w:rsidRPr="005408BA">
        <w:rPr>
          <w:sz w:val="28"/>
          <w:szCs w:val="28"/>
        </w:rPr>
        <w:tab/>
      </w:r>
      <w:r w:rsidRPr="005408BA">
        <w:rPr>
          <w:sz w:val="28"/>
          <w:szCs w:val="28"/>
        </w:rPr>
        <w:tab/>
      </w:r>
      <w:r w:rsidRPr="005408BA">
        <w:rPr>
          <w:sz w:val="28"/>
          <w:szCs w:val="28"/>
        </w:rPr>
        <w:tab/>
      </w:r>
      <w:r w:rsidRPr="005408BA">
        <w:rPr>
          <w:sz w:val="28"/>
          <w:szCs w:val="28"/>
        </w:rPr>
        <w:tab/>
      </w:r>
      <w:r w:rsidRPr="005408BA">
        <w:rPr>
          <w:sz w:val="28"/>
          <w:szCs w:val="28"/>
        </w:rPr>
        <w:tab/>
      </w:r>
      <w:r w:rsidRPr="005408BA">
        <w:rPr>
          <w:sz w:val="28"/>
          <w:szCs w:val="28"/>
        </w:rPr>
        <w:tab/>
        <w:t>Total number of students</w:t>
      </w:r>
    </w:p>
    <w:p w:rsidR="009B2849" w:rsidRPr="00CE24D7" w:rsidRDefault="009B2849" w:rsidP="009B2849">
      <w:pPr>
        <w:spacing w:after="0"/>
        <w:rPr>
          <w:color w:val="0070C0"/>
          <w:sz w:val="28"/>
          <w:szCs w:val="28"/>
        </w:rPr>
      </w:pPr>
    </w:p>
    <w:p w:rsidR="00746811" w:rsidRPr="00C91B1A" w:rsidRDefault="009B2849" w:rsidP="00746811">
      <w:pPr>
        <w:spacing w:after="0"/>
        <w:rPr>
          <w:sz w:val="28"/>
          <w:szCs w:val="28"/>
        </w:rPr>
      </w:pPr>
      <w:r w:rsidRPr="00CE24D7">
        <w:rPr>
          <w:color w:val="0070C0"/>
          <w:sz w:val="28"/>
          <w:szCs w:val="28"/>
        </w:rPr>
        <w:tab/>
      </w:r>
      <w:r w:rsidRPr="00CE24D7">
        <w:rPr>
          <w:color w:val="0070C0"/>
          <w:sz w:val="28"/>
          <w:szCs w:val="28"/>
        </w:rPr>
        <w:tab/>
      </w:r>
      <w:r w:rsidRPr="00CE24D7">
        <w:rPr>
          <w:color w:val="0070C0"/>
          <w:sz w:val="28"/>
          <w:szCs w:val="28"/>
        </w:rPr>
        <w:tab/>
      </w:r>
      <w:r w:rsidRPr="00CE24D7">
        <w:rPr>
          <w:color w:val="0070C0"/>
          <w:sz w:val="28"/>
          <w:szCs w:val="28"/>
        </w:rPr>
        <w:tab/>
      </w:r>
      <w:r w:rsidRPr="00CE24D7">
        <w:rPr>
          <w:color w:val="0070C0"/>
          <w:sz w:val="28"/>
          <w:szCs w:val="28"/>
        </w:rPr>
        <w:tab/>
      </w:r>
      <w:r w:rsidR="00746811" w:rsidRPr="00C91B1A">
        <w:rPr>
          <w:sz w:val="28"/>
          <w:szCs w:val="28"/>
        </w:rPr>
        <w:t>=</w:t>
      </w:r>
      <w:r w:rsidR="00746811" w:rsidRPr="00C91B1A">
        <w:rPr>
          <w:sz w:val="28"/>
          <w:szCs w:val="28"/>
        </w:rPr>
        <w:tab/>
      </w:r>
      <w:r w:rsidR="00746811" w:rsidRPr="00C91B1A">
        <w:rPr>
          <w:sz w:val="28"/>
          <w:szCs w:val="28"/>
        </w:rPr>
        <w:tab/>
      </w:r>
      <w:r w:rsidR="000E488A">
        <w:rPr>
          <w:sz w:val="28"/>
          <w:szCs w:val="28"/>
          <w:u w:val="single"/>
        </w:rPr>
        <w:t>11</w:t>
      </w:r>
      <w:r w:rsidR="00746811">
        <w:rPr>
          <w:sz w:val="28"/>
          <w:szCs w:val="28"/>
          <w:u w:val="single"/>
        </w:rPr>
        <w:t>.4</w:t>
      </w:r>
    </w:p>
    <w:p w:rsidR="00746811" w:rsidRPr="00C91B1A" w:rsidRDefault="000E488A" w:rsidP="00746811">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27</w:t>
      </w:r>
    </w:p>
    <w:p w:rsidR="00746811" w:rsidRPr="00C91B1A" w:rsidRDefault="00746811" w:rsidP="00746811">
      <w:pPr>
        <w:spacing w:after="0"/>
        <w:rPr>
          <w:sz w:val="28"/>
          <w:szCs w:val="28"/>
        </w:rPr>
      </w:pPr>
    </w:p>
    <w:p w:rsidR="00746811" w:rsidRPr="00C91B1A" w:rsidRDefault="00746811" w:rsidP="00746811">
      <w:pPr>
        <w:spacing w:after="0"/>
        <w:rPr>
          <w:b/>
          <w:sz w:val="28"/>
          <w:szCs w:val="28"/>
          <w:u w:val="single"/>
        </w:rPr>
      </w:pPr>
      <w:r w:rsidRPr="00C91B1A">
        <w:rPr>
          <w:sz w:val="28"/>
          <w:szCs w:val="28"/>
        </w:rPr>
        <w:tab/>
      </w:r>
      <w:r w:rsidRPr="00C91B1A">
        <w:rPr>
          <w:sz w:val="28"/>
          <w:szCs w:val="28"/>
        </w:rPr>
        <w:tab/>
      </w:r>
      <w:r w:rsidRPr="00C91B1A">
        <w:rPr>
          <w:sz w:val="28"/>
          <w:szCs w:val="28"/>
        </w:rPr>
        <w:tab/>
      </w:r>
      <w:r w:rsidRPr="00C91B1A">
        <w:rPr>
          <w:sz w:val="28"/>
          <w:szCs w:val="28"/>
        </w:rPr>
        <w:tab/>
      </w:r>
      <w:r w:rsidRPr="00C91B1A">
        <w:rPr>
          <w:sz w:val="28"/>
          <w:szCs w:val="28"/>
        </w:rPr>
        <w:tab/>
      </w:r>
      <w:r w:rsidR="000E488A">
        <w:rPr>
          <w:b/>
          <w:sz w:val="28"/>
          <w:szCs w:val="28"/>
          <w:u w:val="single"/>
        </w:rPr>
        <w:t>=</w:t>
      </w:r>
      <w:r w:rsidR="000E488A">
        <w:rPr>
          <w:b/>
          <w:sz w:val="28"/>
          <w:szCs w:val="28"/>
          <w:u w:val="single"/>
        </w:rPr>
        <w:tab/>
      </w:r>
      <w:r w:rsidR="000E488A">
        <w:rPr>
          <w:b/>
          <w:sz w:val="28"/>
          <w:szCs w:val="28"/>
          <w:u w:val="single"/>
        </w:rPr>
        <w:tab/>
        <w:t>0.4</w:t>
      </w:r>
      <w:r w:rsidRPr="00C91B1A">
        <w:rPr>
          <w:b/>
          <w:sz w:val="28"/>
          <w:szCs w:val="28"/>
          <w:u w:val="single"/>
        </w:rPr>
        <w:t xml:space="preserve"> steps per term.</w:t>
      </w:r>
    </w:p>
    <w:p w:rsidR="00746811" w:rsidRPr="00C91B1A" w:rsidRDefault="00746811" w:rsidP="00746811">
      <w:pPr>
        <w:spacing w:after="0"/>
        <w:rPr>
          <w:b/>
          <w:sz w:val="28"/>
          <w:szCs w:val="28"/>
          <w:u w:val="single"/>
        </w:rPr>
      </w:pPr>
    </w:p>
    <w:p w:rsidR="00322CA2" w:rsidRPr="00455675" w:rsidRDefault="00322CA2" w:rsidP="00322CA2">
      <w:pPr>
        <w:spacing w:after="0"/>
        <w:rPr>
          <w:sz w:val="28"/>
          <w:szCs w:val="28"/>
        </w:rPr>
      </w:pPr>
      <w:r w:rsidRPr="00455675">
        <w:rPr>
          <w:sz w:val="28"/>
          <w:szCs w:val="28"/>
        </w:rPr>
        <w:t>Although this is below the threshold for expected progress over a term of 0.6 steps, this shows that students are making significant progress across the core subjects compared to that made in their previous schools.</w:t>
      </w:r>
    </w:p>
    <w:p w:rsidR="00322CA2" w:rsidRPr="00455675" w:rsidRDefault="00322CA2" w:rsidP="00322CA2">
      <w:pPr>
        <w:spacing w:after="0"/>
        <w:rPr>
          <w:sz w:val="28"/>
          <w:szCs w:val="28"/>
        </w:rPr>
      </w:pPr>
    </w:p>
    <w:p w:rsidR="00322CA2" w:rsidRPr="00455675" w:rsidRDefault="00322CA2" w:rsidP="00322CA2">
      <w:pPr>
        <w:spacing w:after="0"/>
        <w:rPr>
          <w:sz w:val="28"/>
          <w:szCs w:val="28"/>
        </w:rPr>
      </w:pPr>
      <w:r w:rsidRPr="00455675">
        <w:rPr>
          <w:sz w:val="28"/>
          <w:szCs w:val="28"/>
        </w:rPr>
        <w:t xml:space="preserve">44% of the students have an ASPA of at least 0.6 steps per term. This means that nearly half of the students achieved above or in line with expected </w:t>
      </w:r>
      <w:r w:rsidRPr="00455675">
        <w:rPr>
          <w:sz w:val="28"/>
          <w:szCs w:val="28"/>
        </w:rPr>
        <w:lastRenderedPageBreak/>
        <w:t>progress across the core subjects. This is a vast change from where these students were prior to joining Clifford Holroyde.</w:t>
      </w:r>
    </w:p>
    <w:p w:rsidR="00746811" w:rsidRPr="00C91B1A" w:rsidRDefault="00746811" w:rsidP="00746811">
      <w:pPr>
        <w:spacing w:after="0"/>
        <w:rPr>
          <w:sz w:val="28"/>
          <w:szCs w:val="28"/>
        </w:rPr>
      </w:pPr>
    </w:p>
    <w:p w:rsidR="00322CA2" w:rsidRPr="00455675" w:rsidRDefault="00322CA2" w:rsidP="00322CA2">
      <w:pPr>
        <w:shd w:val="clear" w:color="auto" w:fill="FFFF00"/>
        <w:spacing w:after="0"/>
        <w:rPr>
          <w:b/>
          <w:sz w:val="28"/>
          <w:szCs w:val="28"/>
        </w:rPr>
      </w:pPr>
      <w:r w:rsidRPr="00455675">
        <w:rPr>
          <w:b/>
          <w:sz w:val="28"/>
          <w:szCs w:val="28"/>
        </w:rPr>
        <w:t>This demonstrates significant improvement in core progress since admission to the school.</w:t>
      </w:r>
    </w:p>
    <w:p w:rsidR="009B2849" w:rsidRPr="00DE0F5F" w:rsidRDefault="009B2849" w:rsidP="00746811">
      <w:pPr>
        <w:spacing w:after="0"/>
        <w:rPr>
          <w:b/>
          <w:sz w:val="28"/>
          <w:szCs w:val="28"/>
        </w:rPr>
      </w:pPr>
    </w:p>
    <w:p w:rsidR="00680D2C" w:rsidRDefault="00680D2C"/>
    <w:p w:rsidR="00746811" w:rsidRPr="00D27CEA" w:rsidRDefault="00680D2C" w:rsidP="00746811">
      <w:pPr>
        <w:pStyle w:val="ListParagraph"/>
        <w:numPr>
          <w:ilvl w:val="0"/>
          <w:numId w:val="1"/>
        </w:numPr>
        <w:spacing w:after="0"/>
        <w:jc w:val="center"/>
        <w:rPr>
          <w:b/>
          <w:sz w:val="28"/>
          <w:szCs w:val="28"/>
        </w:rPr>
      </w:pPr>
      <w:r w:rsidRPr="00D27CEA">
        <w:rPr>
          <w:b/>
          <w:sz w:val="28"/>
          <w:szCs w:val="28"/>
        </w:rPr>
        <w:t>SUB-GROUP ANALYSIS</w:t>
      </w:r>
    </w:p>
    <w:p w:rsidR="00746811" w:rsidRPr="00AB6125" w:rsidRDefault="00746811" w:rsidP="00746811">
      <w:pPr>
        <w:spacing w:after="0"/>
        <w:jc w:val="center"/>
        <w:rPr>
          <w:b/>
          <w:sz w:val="28"/>
          <w:szCs w:val="28"/>
          <w:u w:val="single"/>
        </w:rPr>
      </w:pPr>
    </w:p>
    <w:p w:rsidR="00746811" w:rsidRPr="00AB6125" w:rsidRDefault="00746811" w:rsidP="00746811">
      <w:pPr>
        <w:rPr>
          <w:sz w:val="28"/>
          <w:szCs w:val="28"/>
        </w:rPr>
      </w:pPr>
      <w:r w:rsidRPr="00AB6125">
        <w:rPr>
          <w:sz w:val="28"/>
          <w:szCs w:val="28"/>
        </w:rPr>
        <w:t>This sub-group analysis would usually consider gender, ethnicity, special educational needs (SEN), free school meals (FSM) and looked after children (LAC). As Clifford Holroyde is a specialist SEN college, all the students are boys with statements. Consequently, there is no sub-group analysis for gender and SEN. Sub-groups that are included are FSM, LAC and ethnicity.</w:t>
      </w:r>
    </w:p>
    <w:p w:rsidR="00322CA2" w:rsidRPr="00AB6125" w:rsidRDefault="00746811" w:rsidP="00746811">
      <w:pPr>
        <w:rPr>
          <w:sz w:val="28"/>
          <w:szCs w:val="28"/>
        </w:rPr>
      </w:pPr>
      <w:r w:rsidRPr="00AB6125">
        <w:rPr>
          <w:sz w:val="28"/>
          <w:szCs w:val="28"/>
        </w:rPr>
        <w:t>This sub-group analysis is a comparison of “average student progress since admission” (ASPA). The ASPA was calculated for FSM, LAC and ethnicity sub-groups, when significant, and then compared with the ASPA for the whole school population.</w:t>
      </w:r>
    </w:p>
    <w:tbl>
      <w:tblPr>
        <w:tblStyle w:val="TableGrid"/>
        <w:tblW w:w="0" w:type="auto"/>
        <w:tblLook w:val="04A0" w:firstRow="1" w:lastRow="0" w:firstColumn="1" w:lastColumn="0" w:noHBand="0" w:noVBand="1"/>
      </w:tblPr>
      <w:tblGrid>
        <w:gridCol w:w="4585"/>
        <w:gridCol w:w="4431"/>
      </w:tblGrid>
      <w:tr w:rsidR="00322CA2" w:rsidRPr="001B68A4" w:rsidTr="00350E3D">
        <w:tc>
          <w:tcPr>
            <w:tcW w:w="9016" w:type="dxa"/>
            <w:gridSpan w:val="2"/>
          </w:tcPr>
          <w:p w:rsidR="00322CA2" w:rsidRPr="001B68A4" w:rsidRDefault="00322CA2" w:rsidP="00350E3D">
            <w:pPr>
              <w:jc w:val="center"/>
              <w:rPr>
                <w:b/>
                <w:sz w:val="28"/>
                <w:szCs w:val="28"/>
              </w:rPr>
            </w:pPr>
            <w:r w:rsidRPr="001B68A4">
              <w:rPr>
                <w:b/>
                <w:sz w:val="28"/>
                <w:szCs w:val="28"/>
              </w:rPr>
              <w:t xml:space="preserve">ASPA FOR WHOLE SCHOOL AND SUB-GROUPS </w:t>
            </w:r>
          </w:p>
          <w:p w:rsidR="00322CA2" w:rsidRPr="001B68A4" w:rsidRDefault="00322CA2" w:rsidP="00350E3D">
            <w:pPr>
              <w:jc w:val="center"/>
              <w:rPr>
                <w:b/>
                <w:sz w:val="28"/>
                <w:szCs w:val="28"/>
              </w:rPr>
            </w:pPr>
          </w:p>
        </w:tc>
      </w:tr>
      <w:tr w:rsidR="00322CA2" w:rsidRPr="001B68A4" w:rsidTr="00350E3D">
        <w:tc>
          <w:tcPr>
            <w:tcW w:w="4585" w:type="dxa"/>
          </w:tcPr>
          <w:p w:rsidR="00322CA2" w:rsidRPr="001B68A4" w:rsidRDefault="00322CA2" w:rsidP="00350E3D">
            <w:pPr>
              <w:jc w:val="center"/>
              <w:rPr>
                <w:sz w:val="28"/>
                <w:szCs w:val="28"/>
              </w:rPr>
            </w:pPr>
            <w:r w:rsidRPr="001B68A4">
              <w:rPr>
                <w:sz w:val="28"/>
                <w:szCs w:val="28"/>
              </w:rPr>
              <w:t>Whole School Population</w:t>
            </w:r>
          </w:p>
        </w:tc>
        <w:tc>
          <w:tcPr>
            <w:tcW w:w="4431" w:type="dxa"/>
          </w:tcPr>
          <w:p w:rsidR="00322CA2" w:rsidRPr="001B68A4" w:rsidRDefault="00322CA2" w:rsidP="00350E3D">
            <w:pPr>
              <w:jc w:val="center"/>
              <w:rPr>
                <w:sz w:val="28"/>
                <w:szCs w:val="28"/>
              </w:rPr>
            </w:pPr>
            <w:r w:rsidRPr="001B68A4">
              <w:rPr>
                <w:sz w:val="28"/>
                <w:szCs w:val="28"/>
              </w:rPr>
              <w:t>0.4</w:t>
            </w:r>
          </w:p>
        </w:tc>
      </w:tr>
      <w:tr w:rsidR="00322CA2" w:rsidRPr="001B68A4" w:rsidTr="00350E3D">
        <w:tc>
          <w:tcPr>
            <w:tcW w:w="4585" w:type="dxa"/>
          </w:tcPr>
          <w:p w:rsidR="00322CA2" w:rsidRPr="001B68A4" w:rsidRDefault="00322CA2" w:rsidP="00350E3D">
            <w:pPr>
              <w:jc w:val="center"/>
              <w:rPr>
                <w:sz w:val="28"/>
                <w:szCs w:val="28"/>
              </w:rPr>
            </w:pPr>
            <w:r w:rsidRPr="001B68A4">
              <w:rPr>
                <w:sz w:val="28"/>
                <w:szCs w:val="28"/>
              </w:rPr>
              <w:t>FSM Students</w:t>
            </w:r>
          </w:p>
        </w:tc>
        <w:tc>
          <w:tcPr>
            <w:tcW w:w="4431" w:type="dxa"/>
          </w:tcPr>
          <w:p w:rsidR="00322CA2" w:rsidRPr="001B68A4" w:rsidRDefault="00322CA2" w:rsidP="00350E3D">
            <w:pPr>
              <w:jc w:val="center"/>
              <w:rPr>
                <w:sz w:val="28"/>
                <w:szCs w:val="28"/>
              </w:rPr>
            </w:pPr>
            <w:r w:rsidRPr="001B68A4">
              <w:rPr>
                <w:sz w:val="28"/>
                <w:szCs w:val="28"/>
              </w:rPr>
              <w:t>0.4</w:t>
            </w:r>
          </w:p>
        </w:tc>
      </w:tr>
      <w:tr w:rsidR="00322CA2" w:rsidRPr="001B68A4" w:rsidTr="00350E3D">
        <w:tc>
          <w:tcPr>
            <w:tcW w:w="4585" w:type="dxa"/>
          </w:tcPr>
          <w:p w:rsidR="00322CA2" w:rsidRPr="001B68A4" w:rsidRDefault="00322CA2" w:rsidP="00350E3D">
            <w:pPr>
              <w:jc w:val="center"/>
              <w:rPr>
                <w:sz w:val="28"/>
                <w:szCs w:val="28"/>
              </w:rPr>
            </w:pPr>
            <w:r w:rsidRPr="001B68A4">
              <w:rPr>
                <w:sz w:val="28"/>
                <w:szCs w:val="28"/>
              </w:rPr>
              <w:t>LAC Students</w:t>
            </w:r>
          </w:p>
        </w:tc>
        <w:tc>
          <w:tcPr>
            <w:tcW w:w="4431" w:type="dxa"/>
          </w:tcPr>
          <w:p w:rsidR="00322CA2" w:rsidRPr="001B68A4" w:rsidRDefault="00322CA2" w:rsidP="00350E3D">
            <w:pPr>
              <w:jc w:val="center"/>
              <w:rPr>
                <w:sz w:val="28"/>
                <w:szCs w:val="28"/>
              </w:rPr>
            </w:pPr>
            <w:r w:rsidRPr="001B68A4">
              <w:rPr>
                <w:sz w:val="28"/>
                <w:szCs w:val="28"/>
              </w:rPr>
              <w:t>0.4</w:t>
            </w:r>
          </w:p>
        </w:tc>
      </w:tr>
      <w:tr w:rsidR="00322CA2" w:rsidRPr="001B68A4" w:rsidTr="00350E3D">
        <w:tc>
          <w:tcPr>
            <w:tcW w:w="4585" w:type="dxa"/>
          </w:tcPr>
          <w:p w:rsidR="00322CA2" w:rsidRPr="001B68A4" w:rsidRDefault="00322CA2" w:rsidP="00350E3D">
            <w:pPr>
              <w:jc w:val="center"/>
              <w:rPr>
                <w:sz w:val="28"/>
                <w:szCs w:val="28"/>
              </w:rPr>
            </w:pPr>
            <w:r w:rsidRPr="001B68A4">
              <w:rPr>
                <w:sz w:val="28"/>
                <w:szCs w:val="28"/>
              </w:rPr>
              <w:t>Ethnicity – White and Black Caribbean</w:t>
            </w:r>
          </w:p>
        </w:tc>
        <w:tc>
          <w:tcPr>
            <w:tcW w:w="4431" w:type="dxa"/>
          </w:tcPr>
          <w:p w:rsidR="00322CA2" w:rsidRPr="001B68A4" w:rsidRDefault="00322CA2" w:rsidP="00350E3D">
            <w:pPr>
              <w:jc w:val="center"/>
              <w:rPr>
                <w:sz w:val="28"/>
                <w:szCs w:val="28"/>
              </w:rPr>
            </w:pPr>
            <w:r w:rsidRPr="001B68A4">
              <w:rPr>
                <w:sz w:val="28"/>
                <w:szCs w:val="28"/>
              </w:rPr>
              <w:t>0.3</w:t>
            </w:r>
          </w:p>
        </w:tc>
      </w:tr>
      <w:tr w:rsidR="00322CA2" w:rsidRPr="001B68A4" w:rsidTr="00350E3D">
        <w:tc>
          <w:tcPr>
            <w:tcW w:w="4585" w:type="dxa"/>
          </w:tcPr>
          <w:p w:rsidR="00322CA2" w:rsidRPr="001B68A4" w:rsidRDefault="00322CA2" w:rsidP="00350E3D">
            <w:pPr>
              <w:jc w:val="center"/>
              <w:rPr>
                <w:sz w:val="28"/>
                <w:szCs w:val="28"/>
              </w:rPr>
            </w:pPr>
            <w:r w:rsidRPr="001B68A4">
              <w:rPr>
                <w:sz w:val="28"/>
                <w:szCs w:val="28"/>
              </w:rPr>
              <w:t>Ethnicity – White British</w:t>
            </w:r>
          </w:p>
        </w:tc>
        <w:tc>
          <w:tcPr>
            <w:tcW w:w="4431" w:type="dxa"/>
          </w:tcPr>
          <w:p w:rsidR="00322CA2" w:rsidRPr="001B68A4" w:rsidRDefault="00322CA2" w:rsidP="00350E3D">
            <w:pPr>
              <w:jc w:val="center"/>
              <w:rPr>
                <w:sz w:val="28"/>
                <w:szCs w:val="28"/>
              </w:rPr>
            </w:pPr>
            <w:r w:rsidRPr="001B68A4">
              <w:rPr>
                <w:sz w:val="28"/>
                <w:szCs w:val="28"/>
              </w:rPr>
              <w:t>0.4</w:t>
            </w:r>
          </w:p>
        </w:tc>
      </w:tr>
    </w:tbl>
    <w:p w:rsidR="00746811" w:rsidRPr="00AB6125" w:rsidRDefault="00746811" w:rsidP="00746811">
      <w:pPr>
        <w:rPr>
          <w:sz w:val="28"/>
          <w:szCs w:val="28"/>
        </w:rPr>
      </w:pPr>
    </w:p>
    <w:p w:rsidR="00322CA2" w:rsidRPr="00D27CEA" w:rsidRDefault="00322CA2" w:rsidP="00322CA2">
      <w:pPr>
        <w:rPr>
          <w:b/>
          <w:sz w:val="28"/>
          <w:szCs w:val="28"/>
        </w:rPr>
      </w:pPr>
      <w:r w:rsidRPr="00D27CEA">
        <w:rPr>
          <w:b/>
          <w:sz w:val="28"/>
          <w:szCs w:val="28"/>
        </w:rPr>
        <w:t>Free School Meals</w:t>
      </w:r>
    </w:p>
    <w:p w:rsidR="00322CA2" w:rsidRPr="001B68A4" w:rsidRDefault="00322CA2" w:rsidP="00322CA2">
      <w:pPr>
        <w:rPr>
          <w:sz w:val="28"/>
          <w:szCs w:val="28"/>
        </w:rPr>
      </w:pPr>
      <w:r w:rsidRPr="001B68A4">
        <w:rPr>
          <w:sz w:val="28"/>
          <w:szCs w:val="28"/>
        </w:rPr>
        <w:t>56% of the students involved in this analysis are entitled to free school meals. The ASPA for FSM students is 0.4 steps per term, which is in line with the ASPA of 0.4 for the whole school population.</w:t>
      </w:r>
    </w:p>
    <w:p w:rsidR="00D27CEA" w:rsidRDefault="00D27CEA" w:rsidP="00322CA2">
      <w:pPr>
        <w:rPr>
          <w:b/>
          <w:sz w:val="28"/>
          <w:szCs w:val="28"/>
        </w:rPr>
      </w:pPr>
    </w:p>
    <w:p w:rsidR="00322CA2" w:rsidRPr="00D27CEA" w:rsidRDefault="00322CA2" w:rsidP="00322CA2">
      <w:pPr>
        <w:rPr>
          <w:b/>
          <w:sz w:val="28"/>
          <w:szCs w:val="28"/>
        </w:rPr>
      </w:pPr>
      <w:bookmarkStart w:id="0" w:name="_GoBack"/>
      <w:bookmarkEnd w:id="0"/>
      <w:r w:rsidRPr="00D27CEA">
        <w:rPr>
          <w:b/>
          <w:sz w:val="28"/>
          <w:szCs w:val="28"/>
        </w:rPr>
        <w:lastRenderedPageBreak/>
        <w:t>Looked After Children</w:t>
      </w:r>
    </w:p>
    <w:p w:rsidR="00322CA2" w:rsidRPr="001B68A4" w:rsidRDefault="00322CA2" w:rsidP="00322CA2">
      <w:pPr>
        <w:rPr>
          <w:sz w:val="28"/>
          <w:szCs w:val="28"/>
        </w:rPr>
      </w:pPr>
      <w:r w:rsidRPr="001B68A4">
        <w:rPr>
          <w:sz w:val="28"/>
          <w:szCs w:val="28"/>
        </w:rPr>
        <w:t>Only two studen</w:t>
      </w:r>
      <w:r>
        <w:rPr>
          <w:sz w:val="28"/>
          <w:szCs w:val="28"/>
        </w:rPr>
        <w:t>ts in this analysis are looked after c</w:t>
      </w:r>
      <w:r w:rsidRPr="001B68A4">
        <w:rPr>
          <w:sz w:val="28"/>
          <w:szCs w:val="28"/>
        </w:rPr>
        <w:t xml:space="preserve">hildren. </w:t>
      </w:r>
    </w:p>
    <w:p w:rsidR="00322CA2" w:rsidRDefault="00322CA2" w:rsidP="00322CA2">
      <w:pPr>
        <w:rPr>
          <w:sz w:val="28"/>
          <w:szCs w:val="28"/>
        </w:rPr>
      </w:pPr>
      <w:r>
        <w:rPr>
          <w:sz w:val="28"/>
          <w:szCs w:val="28"/>
        </w:rPr>
        <w:t>One student</w:t>
      </w:r>
      <w:r w:rsidRPr="001B68A4">
        <w:rPr>
          <w:sz w:val="28"/>
          <w:szCs w:val="28"/>
        </w:rPr>
        <w:t xml:space="preserve"> has an ASPA of 0.6. This is above the whole school population ASPA of 0.4.</w:t>
      </w:r>
    </w:p>
    <w:p w:rsidR="00322CA2" w:rsidRDefault="00322CA2" w:rsidP="00322CA2">
      <w:pPr>
        <w:rPr>
          <w:sz w:val="28"/>
          <w:szCs w:val="28"/>
        </w:rPr>
      </w:pPr>
      <w:r>
        <w:rPr>
          <w:sz w:val="28"/>
          <w:szCs w:val="28"/>
        </w:rPr>
        <w:t>One student</w:t>
      </w:r>
      <w:r w:rsidRPr="001B68A4">
        <w:rPr>
          <w:sz w:val="28"/>
          <w:szCs w:val="28"/>
        </w:rPr>
        <w:t xml:space="preserve"> has an ASPA of 0.2. This is below the ASPA of 0.4 </w:t>
      </w:r>
      <w:r>
        <w:rPr>
          <w:sz w:val="28"/>
          <w:szCs w:val="28"/>
        </w:rPr>
        <w:t>for the whole school population</w:t>
      </w:r>
      <w:r w:rsidRPr="001B68A4">
        <w:rPr>
          <w:sz w:val="28"/>
          <w:szCs w:val="28"/>
        </w:rPr>
        <w:t xml:space="preserve">. </w:t>
      </w:r>
    </w:p>
    <w:p w:rsidR="00CF2A63" w:rsidRDefault="00CF2A63" w:rsidP="00322CA2">
      <w:pPr>
        <w:rPr>
          <w:sz w:val="28"/>
          <w:szCs w:val="28"/>
        </w:rPr>
      </w:pPr>
    </w:p>
    <w:p w:rsidR="00CF2A63" w:rsidRPr="001B68A4" w:rsidRDefault="00CF2A63" w:rsidP="00322CA2">
      <w:pPr>
        <w:rPr>
          <w:sz w:val="28"/>
          <w:szCs w:val="28"/>
        </w:rPr>
      </w:pPr>
    </w:p>
    <w:p w:rsidR="00322CA2" w:rsidRPr="00D27CEA" w:rsidRDefault="00322CA2" w:rsidP="00322CA2">
      <w:pPr>
        <w:rPr>
          <w:b/>
          <w:sz w:val="28"/>
          <w:szCs w:val="28"/>
        </w:rPr>
      </w:pPr>
      <w:r w:rsidRPr="00D27CEA">
        <w:rPr>
          <w:b/>
          <w:sz w:val="28"/>
          <w:szCs w:val="28"/>
        </w:rPr>
        <w:t>Ethnicity</w:t>
      </w:r>
    </w:p>
    <w:p w:rsidR="00322CA2" w:rsidRPr="001B68A4" w:rsidRDefault="00322CA2" w:rsidP="00322CA2">
      <w:pPr>
        <w:rPr>
          <w:sz w:val="28"/>
          <w:szCs w:val="28"/>
        </w:rPr>
      </w:pPr>
      <w:r w:rsidRPr="001B68A4">
        <w:rPr>
          <w:sz w:val="28"/>
          <w:szCs w:val="28"/>
        </w:rPr>
        <w:t>11% of students involved in this analysis are “White and Black Caribbean”. The ASPA for “White and Black Caribbean” students is 0.3, which is slightly below the ASPA of 0.4 for the whole school population. There are only three “White and Black Caribbean” students and so the statistical significance of this data is low. However, this should be investigated further as a possible area for development.</w:t>
      </w:r>
    </w:p>
    <w:p w:rsidR="00322CA2" w:rsidRPr="001B68A4" w:rsidRDefault="00322CA2" w:rsidP="00322CA2">
      <w:pPr>
        <w:rPr>
          <w:sz w:val="28"/>
          <w:szCs w:val="28"/>
        </w:rPr>
      </w:pPr>
      <w:r w:rsidRPr="001B68A4">
        <w:rPr>
          <w:sz w:val="28"/>
          <w:szCs w:val="28"/>
        </w:rPr>
        <w:t>One student is “White European” with an ASPA of 0.8. This is above the whole school population ASPA of 0.4.</w:t>
      </w:r>
    </w:p>
    <w:p w:rsidR="00322CA2" w:rsidRPr="001B68A4" w:rsidRDefault="00322CA2" w:rsidP="00322CA2">
      <w:pPr>
        <w:rPr>
          <w:sz w:val="28"/>
          <w:szCs w:val="28"/>
        </w:rPr>
      </w:pPr>
      <w:r w:rsidRPr="001B68A4">
        <w:rPr>
          <w:sz w:val="28"/>
          <w:szCs w:val="28"/>
        </w:rPr>
        <w:t xml:space="preserve">One student is “White and Chinese” with an ASPA of 0.2. This is below the ASPA of 0.4 for the whole school population. R </w:t>
      </w:r>
    </w:p>
    <w:p w:rsidR="00464E3B" w:rsidRPr="00CF2A63" w:rsidRDefault="00322CA2">
      <w:pPr>
        <w:rPr>
          <w:sz w:val="28"/>
          <w:szCs w:val="28"/>
        </w:rPr>
      </w:pPr>
      <w:r w:rsidRPr="001B68A4">
        <w:rPr>
          <w:sz w:val="28"/>
          <w:szCs w:val="28"/>
        </w:rPr>
        <w:t>“White British” students had a sub-group ASPA of 0.4 steps per term. As 81% of the students involved in this analysis are “White British”, it is not surprising that progress for this group is in line with the ASPA for the whole school population.</w:t>
      </w:r>
    </w:p>
    <w:p w:rsidR="00680D2C" w:rsidRPr="00D27CEA" w:rsidRDefault="00680D2C" w:rsidP="00464E3B">
      <w:pPr>
        <w:pStyle w:val="ListParagraph"/>
        <w:numPr>
          <w:ilvl w:val="0"/>
          <w:numId w:val="1"/>
        </w:numPr>
        <w:jc w:val="center"/>
        <w:rPr>
          <w:b/>
          <w:sz w:val="28"/>
          <w:szCs w:val="28"/>
        </w:rPr>
      </w:pPr>
      <w:r w:rsidRPr="00D27CEA">
        <w:rPr>
          <w:b/>
          <w:sz w:val="28"/>
          <w:szCs w:val="28"/>
        </w:rPr>
        <w:t>TREND ANALYSIS OF GCSE RESULTS</w:t>
      </w:r>
    </w:p>
    <w:p w:rsidR="00464E3B" w:rsidRDefault="00322CA2" w:rsidP="00464E3B">
      <w:pPr>
        <w:spacing w:after="0"/>
        <w:rPr>
          <w:sz w:val="28"/>
          <w:szCs w:val="28"/>
        </w:rPr>
      </w:pPr>
      <w:r>
        <w:rPr>
          <w:sz w:val="28"/>
          <w:szCs w:val="28"/>
        </w:rPr>
        <w:t>GCSE results over the last eight</w:t>
      </w:r>
      <w:r w:rsidR="00464E3B" w:rsidRPr="005A657C">
        <w:rPr>
          <w:sz w:val="28"/>
          <w:szCs w:val="28"/>
        </w:rPr>
        <w:t xml:space="preserve"> years</w:t>
      </w:r>
      <w:r>
        <w:rPr>
          <w:sz w:val="28"/>
          <w:szCs w:val="28"/>
        </w:rPr>
        <w:t xml:space="preserve"> are</w:t>
      </w:r>
      <w:r w:rsidR="00464E3B" w:rsidRPr="005A657C">
        <w:rPr>
          <w:sz w:val="28"/>
          <w:szCs w:val="28"/>
        </w:rPr>
        <w:t xml:space="preserve"> analysed in order to find any possible trends in the data. The data used was the percentage of school based students achieving each category descriptor.</w:t>
      </w:r>
    </w:p>
    <w:p w:rsidR="00464E3B" w:rsidRPr="005A657C" w:rsidRDefault="00464E3B" w:rsidP="00464E3B">
      <w:pPr>
        <w:spacing w:after="0"/>
        <w:rPr>
          <w:sz w:val="28"/>
          <w:szCs w:val="28"/>
        </w:rPr>
      </w:pPr>
    </w:p>
    <w:tbl>
      <w:tblPr>
        <w:tblStyle w:val="TableGrid"/>
        <w:tblW w:w="0" w:type="auto"/>
        <w:tblLook w:val="04A0" w:firstRow="1" w:lastRow="0" w:firstColumn="1" w:lastColumn="0" w:noHBand="0" w:noVBand="1"/>
      </w:tblPr>
      <w:tblGrid>
        <w:gridCol w:w="1316"/>
        <w:gridCol w:w="977"/>
        <w:gridCol w:w="992"/>
        <w:gridCol w:w="993"/>
        <w:gridCol w:w="993"/>
        <w:gridCol w:w="993"/>
        <w:gridCol w:w="990"/>
        <w:gridCol w:w="990"/>
        <w:gridCol w:w="772"/>
      </w:tblGrid>
      <w:tr w:rsidR="00322CA2" w:rsidRPr="005A657C" w:rsidTr="00322CA2">
        <w:tc>
          <w:tcPr>
            <w:tcW w:w="1323" w:type="dxa"/>
            <w:vAlign w:val="center"/>
          </w:tcPr>
          <w:p w:rsidR="00322CA2" w:rsidRPr="005A657C" w:rsidRDefault="00322CA2" w:rsidP="00720401">
            <w:pPr>
              <w:jc w:val="center"/>
              <w:rPr>
                <w:b/>
                <w:sz w:val="24"/>
                <w:szCs w:val="24"/>
              </w:rPr>
            </w:pPr>
          </w:p>
          <w:p w:rsidR="00322CA2" w:rsidRPr="005A657C" w:rsidRDefault="00322CA2" w:rsidP="00720401">
            <w:pPr>
              <w:rPr>
                <w:b/>
                <w:sz w:val="24"/>
                <w:szCs w:val="24"/>
              </w:rPr>
            </w:pPr>
            <w:r w:rsidRPr="005A657C">
              <w:rPr>
                <w:b/>
                <w:sz w:val="24"/>
                <w:szCs w:val="24"/>
              </w:rPr>
              <w:t>CATEGORY</w:t>
            </w:r>
          </w:p>
          <w:p w:rsidR="00322CA2" w:rsidRPr="005A657C" w:rsidRDefault="00322CA2" w:rsidP="00720401">
            <w:pPr>
              <w:rPr>
                <w:b/>
                <w:sz w:val="24"/>
                <w:szCs w:val="24"/>
              </w:rPr>
            </w:pPr>
          </w:p>
        </w:tc>
        <w:tc>
          <w:tcPr>
            <w:tcW w:w="1058" w:type="dxa"/>
            <w:vAlign w:val="center"/>
          </w:tcPr>
          <w:p w:rsidR="00322CA2" w:rsidRPr="00322CA2" w:rsidRDefault="00322CA2" w:rsidP="00720401">
            <w:pPr>
              <w:jc w:val="center"/>
              <w:rPr>
                <w:b/>
                <w:sz w:val="16"/>
                <w:szCs w:val="16"/>
              </w:rPr>
            </w:pPr>
            <w:r w:rsidRPr="00322CA2">
              <w:rPr>
                <w:b/>
                <w:sz w:val="16"/>
                <w:szCs w:val="16"/>
              </w:rPr>
              <w:t>2009/10</w:t>
            </w:r>
          </w:p>
        </w:tc>
        <w:tc>
          <w:tcPr>
            <w:tcW w:w="1052" w:type="dxa"/>
            <w:vAlign w:val="center"/>
          </w:tcPr>
          <w:p w:rsidR="00322CA2" w:rsidRPr="00322CA2" w:rsidRDefault="00322CA2" w:rsidP="00720401">
            <w:pPr>
              <w:jc w:val="center"/>
              <w:rPr>
                <w:b/>
                <w:sz w:val="16"/>
                <w:szCs w:val="16"/>
              </w:rPr>
            </w:pPr>
            <w:r w:rsidRPr="00322CA2">
              <w:rPr>
                <w:b/>
                <w:sz w:val="16"/>
                <w:szCs w:val="16"/>
              </w:rPr>
              <w:t>2010/11</w:t>
            </w:r>
          </w:p>
        </w:tc>
        <w:tc>
          <w:tcPr>
            <w:tcW w:w="1053" w:type="dxa"/>
            <w:vAlign w:val="center"/>
          </w:tcPr>
          <w:p w:rsidR="00322CA2" w:rsidRPr="00322CA2" w:rsidRDefault="00322CA2" w:rsidP="00720401">
            <w:pPr>
              <w:jc w:val="center"/>
              <w:rPr>
                <w:b/>
                <w:sz w:val="16"/>
                <w:szCs w:val="16"/>
              </w:rPr>
            </w:pPr>
            <w:r w:rsidRPr="00322CA2">
              <w:rPr>
                <w:b/>
                <w:sz w:val="16"/>
                <w:szCs w:val="16"/>
              </w:rPr>
              <w:t>2011/12</w:t>
            </w:r>
          </w:p>
        </w:tc>
        <w:tc>
          <w:tcPr>
            <w:tcW w:w="1053" w:type="dxa"/>
            <w:vAlign w:val="center"/>
          </w:tcPr>
          <w:p w:rsidR="00322CA2" w:rsidRPr="00322CA2" w:rsidRDefault="00322CA2" w:rsidP="00720401">
            <w:pPr>
              <w:jc w:val="center"/>
              <w:rPr>
                <w:b/>
                <w:sz w:val="16"/>
                <w:szCs w:val="16"/>
              </w:rPr>
            </w:pPr>
            <w:r w:rsidRPr="00322CA2">
              <w:rPr>
                <w:b/>
                <w:sz w:val="16"/>
                <w:szCs w:val="16"/>
              </w:rPr>
              <w:t>2012/13</w:t>
            </w:r>
          </w:p>
        </w:tc>
        <w:tc>
          <w:tcPr>
            <w:tcW w:w="1053" w:type="dxa"/>
            <w:vAlign w:val="center"/>
          </w:tcPr>
          <w:p w:rsidR="00322CA2" w:rsidRPr="00322CA2" w:rsidRDefault="00322CA2" w:rsidP="00720401">
            <w:pPr>
              <w:jc w:val="center"/>
              <w:rPr>
                <w:b/>
                <w:sz w:val="16"/>
                <w:szCs w:val="16"/>
              </w:rPr>
            </w:pPr>
            <w:r w:rsidRPr="00322CA2">
              <w:rPr>
                <w:b/>
                <w:sz w:val="16"/>
                <w:szCs w:val="16"/>
              </w:rPr>
              <w:t>2013/14</w:t>
            </w:r>
          </w:p>
        </w:tc>
        <w:tc>
          <w:tcPr>
            <w:tcW w:w="1049" w:type="dxa"/>
            <w:vAlign w:val="center"/>
          </w:tcPr>
          <w:p w:rsidR="00322CA2" w:rsidRPr="00322CA2" w:rsidRDefault="00322CA2" w:rsidP="00720401">
            <w:pPr>
              <w:jc w:val="center"/>
              <w:rPr>
                <w:b/>
                <w:sz w:val="16"/>
                <w:szCs w:val="16"/>
              </w:rPr>
            </w:pPr>
            <w:r w:rsidRPr="00322CA2">
              <w:rPr>
                <w:b/>
                <w:sz w:val="16"/>
                <w:szCs w:val="16"/>
              </w:rPr>
              <w:t>2014/15</w:t>
            </w:r>
          </w:p>
        </w:tc>
        <w:tc>
          <w:tcPr>
            <w:tcW w:w="1049" w:type="dxa"/>
            <w:vAlign w:val="center"/>
          </w:tcPr>
          <w:p w:rsidR="00322CA2" w:rsidRPr="00322CA2" w:rsidRDefault="00322CA2" w:rsidP="00720401">
            <w:pPr>
              <w:jc w:val="center"/>
              <w:rPr>
                <w:b/>
                <w:sz w:val="16"/>
                <w:szCs w:val="16"/>
              </w:rPr>
            </w:pPr>
            <w:r w:rsidRPr="00322CA2">
              <w:rPr>
                <w:b/>
                <w:sz w:val="16"/>
                <w:szCs w:val="16"/>
              </w:rPr>
              <w:t>2015/16</w:t>
            </w:r>
          </w:p>
        </w:tc>
        <w:tc>
          <w:tcPr>
            <w:tcW w:w="326" w:type="dxa"/>
          </w:tcPr>
          <w:p w:rsidR="00322CA2" w:rsidRDefault="00322CA2" w:rsidP="00322CA2">
            <w:pPr>
              <w:rPr>
                <w:b/>
                <w:sz w:val="16"/>
                <w:szCs w:val="16"/>
              </w:rPr>
            </w:pPr>
          </w:p>
          <w:p w:rsidR="00322CA2" w:rsidRPr="00322CA2" w:rsidRDefault="00322CA2" w:rsidP="00720401">
            <w:pPr>
              <w:jc w:val="center"/>
              <w:rPr>
                <w:b/>
                <w:sz w:val="16"/>
                <w:szCs w:val="16"/>
              </w:rPr>
            </w:pPr>
            <w:r w:rsidRPr="00322CA2">
              <w:rPr>
                <w:b/>
                <w:sz w:val="16"/>
                <w:szCs w:val="16"/>
              </w:rPr>
              <w:t>2016/17</w:t>
            </w:r>
          </w:p>
        </w:tc>
      </w:tr>
      <w:tr w:rsidR="00322CA2" w:rsidRPr="005A657C" w:rsidTr="00322CA2">
        <w:tc>
          <w:tcPr>
            <w:tcW w:w="1323" w:type="dxa"/>
            <w:vAlign w:val="center"/>
          </w:tcPr>
          <w:p w:rsidR="00322CA2" w:rsidRPr="005A657C" w:rsidRDefault="00322CA2" w:rsidP="00720401">
            <w:pPr>
              <w:jc w:val="center"/>
              <w:rPr>
                <w:b/>
                <w:sz w:val="24"/>
                <w:szCs w:val="24"/>
              </w:rPr>
            </w:pPr>
            <w:r w:rsidRPr="005A657C">
              <w:rPr>
                <w:b/>
                <w:sz w:val="24"/>
                <w:szCs w:val="24"/>
              </w:rPr>
              <w:t>1 or more grades</w:t>
            </w:r>
          </w:p>
          <w:p w:rsidR="00322CA2" w:rsidRPr="005A657C" w:rsidRDefault="00322CA2" w:rsidP="00720401">
            <w:pPr>
              <w:jc w:val="center"/>
              <w:rPr>
                <w:b/>
                <w:sz w:val="24"/>
                <w:szCs w:val="24"/>
              </w:rPr>
            </w:pPr>
            <w:r w:rsidRPr="005A657C">
              <w:rPr>
                <w:b/>
                <w:sz w:val="24"/>
                <w:szCs w:val="24"/>
              </w:rPr>
              <w:t>A* – G</w:t>
            </w:r>
          </w:p>
          <w:p w:rsidR="00322CA2" w:rsidRPr="005A657C" w:rsidRDefault="00322CA2" w:rsidP="00720401">
            <w:pPr>
              <w:jc w:val="center"/>
              <w:rPr>
                <w:b/>
                <w:sz w:val="24"/>
                <w:szCs w:val="24"/>
              </w:rPr>
            </w:pPr>
          </w:p>
        </w:tc>
        <w:tc>
          <w:tcPr>
            <w:tcW w:w="1058" w:type="dxa"/>
            <w:vAlign w:val="center"/>
          </w:tcPr>
          <w:p w:rsidR="00322CA2" w:rsidRPr="005A657C" w:rsidRDefault="00322CA2" w:rsidP="00720401">
            <w:pPr>
              <w:jc w:val="center"/>
              <w:rPr>
                <w:sz w:val="28"/>
                <w:szCs w:val="28"/>
              </w:rPr>
            </w:pPr>
            <w:r w:rsidRPr="005A657C">
              <w:rPr>
                <w:sz w:val="28"/>
                <w:szCs w:val="28"/>
              </w:rPr>
              <w:t>14%</w:t>
            </w:r>
          </w:p>
        </w:tc>
        <w:tc>
          <w:tcPr>
            <w:tcW w:w="1052" w:type="dxa"/>
            <w:vAlign w:val="center"/>
          </w:tcPr>
          <w:p w:rsidR="00322CA2" w:rsidRPr="005A657C" w:rsidRDefault="00322CA2" w:rsidP="00720401">
            <w:pPr>
              <w:jc w:val="center"/>
              <w:rPr>
                <w:sz w:val="28"/>
                <w:szCs w:val="28"/>
              </w:rPr>
            </w:pPr>
            <w:r w:rsidRPr="005A657C">
              <w:rPr>
                <w:sz w:val="28"/>
                <w:szCs w:val="28"/>
              </w:rPr>
              <w:t>100%</w:t>
            </w:r>
          </w:p>
        </w:tc>
        <w:tc>
          <w:tcPr>
            <w:tcW w:w="1053" w:type="dxa"/>
            <w:vAlign w:val="center"/>
          </w:tcPr>
          <w:p w:rsidR="00322CA2" w:rsidRPr="005A657C" w:rsidRDefault="00322CA2" w:rsidP="00720401">
            <w:pPr>
              <w:jc w:val="center"/>
              <w:rPr>
                <w:sz w:val="28"/>
                <w:szCs w:val="28"/>
              </w:rPr>
            </w:pPr>
            <w:r w:rsidRPr="005A657C">
              <w:rPr>
                <w:sz w:val="28"/>
                <w:szCs w:val="28"/>
              </w:rPr>
              <w:t>100%</w:t>
            </w:r>
          </w:p>
        </w:tc>
        <w:tc>
          <w:tcPr>
            <w:tcW w:w="1053" w:type="dxa"/>
            <w:vAlign w:val="center"/>
          </w:tcPr>
          <w:p w:rsidR="00322CA2" w:rsidRPr="005A657C" w:rsidRDefault="00322CA2" w:rsidP="00720401">
            <w:pPr>
              <w:jc w:val="center"/>
              <w:rPr>
                <w:sz w:val="28"/>
                <w:szCs w:val="28"/>
              </w:rPr>
            </w:pPr>
            <w:r w:rsidRPr="005A657C">
              <w:rPr>
                <w:sz w:val="28"/>
                <w:szCs w:val="28"/>
              </w:rPr>
              <w:t>100%</w:t>
            </w:r>
          </w:p>
        </w:tc>
        <w:tc>
          <w:tcPr>
            <w:tcW w:w="1053" w:type="dxa"/>
            <w:vAlign w:val="center"/>
          </w:tcPr>
          <w:p w:rsidR="00322CA2" w:rsidRPr="005A657C" w:rsidRDefault="00322CA2" w:rsidP="00720401">
            <w:pPr>
              <w:jc w:val="center"/>
              <w:rPr>
                <w:sz w:val="28"/>
                <w:szCs w:val="28"/>
              </w:rPr>
            </w:pPr>
            <w:r w:rsidRPr="005A657C">
              <w:rPr>
                <w:sz w:val="28"/>
                <w:szCs w:val="28"/>
              </w:rPr>
              <w:t>100%</w:t>
            </w:r>
          </w:p>
        </w:tc>
        <w:tc>
          <w:tcPr>
            <w:tcW w:w="1049" w:type="dxa"/>
            <w:vAlign w:val="center"/>
          </w:tcPr>
          <w:p w:rsidR="00322CA2" w:rsidRPr="005A657C" w:rsidRDefault="00322CA2" w:rsidP="00720401">
            <w:pPr>
              <w:jc w:val="center"/>
              <w:rPr>
                <w:sz w:val="28"/>
                <w:szCs w:val="28"/>
              </w:rPr>
            </w:pPr>
            <w:r w:rsidRPr="005A657C">
              <w:rPr>
                <w:sz w:val="28"/>
                <w:szCs w:val="28"/>
              </w:rPr>
              <w:t>100%</w:t>
            </w:r>
          </w:p>
        </w:tc>
        <w:tc>
          <w:tcPr>
            <w:tcW w:w="1049" w:type="dxa"/>
            <w:vAlign w:val="center"/>
          </w:tcPr>
          <w:p w:rsidR="00322CA2" w:rsidRPr="005A657C" w:rsidRDefault="00322CA2" w:rsidP="00720401">
            <w:pPr>
              <w:jc w:val="center"/>
              <w:rPr>
                <w:sz w:val="28"/>
                <w:szCs w:val="28"/>
              </w:rPr>
            </w:pPr>
            <w:r w:rsidRPr="005A657C">
              <w:rPr>
                <w:sz w:val="28"/>
                <w:szCs w:val="28"/>
              </w:rPr>
              <w:t>100%</w:t>
            </w:r>
          </w:p>
        </w:tc>
        <w:tc>
          <w:tcPr>
            <w:tcW w:w="326" w:type="dxa"/>
          </w:tcPr>
          <w:p w:rsidR="00F5537A" w:rsidRDefault="00F5537A" w:rsidP="00720401">
            <w:pPr>
              <w:jc w:val="center"/>
              <w:rPr>
                <w:sz w:val="28"/>
                <w:szCs w:val="28"/>
              </w:rPr>
            </w:pPr>
          </w:p>
          <w:p w:rsidR="00322CA2" w:rsidRPr="005A657C" w:rsidRDefault="00322CA2" w:rsidP="00720401">
            <w:pPr>
              <w:jc w:val="center"/>
              <w:rPr>
                <w:sz w:val="28"/>
                <w:szCs w:val="28"/>
              </w:rPr>
            </w:pPr>
            <w:r>
              <w:rPr>
                <w:sz w:val="28"/>
                <w:szCs w:val="28"/>
              </w:rPr>
              <w:t>60%</w:t>
            </w:r>
          </w:p>
        </w:tc>
      </w:tr>
      <w:tr w:rsidR="00322CA2" w:rsidRPr="005A657C" w:rsidTr="00322CA2">
        <w:tc>
          <w:tcPr>
            <w:tcW w:w="1323" w:type="dxa"/>
            <w:vAlign w:val="center"/>
          </w:tcPr>
          <w:p w:rsidR="00322CA2" w:rsidRPr="005A657C" w:rsidRDefault="00322CA2" w:rsidP="00720401">
            <w:pPr>
              <w:jc w:val="center"/>
              <w:rPr>
                <w:b/>
                <w:sz w:val="24"/>
                <w:szCs w:val="24"/>
              </w:rPr>
            </w:pPr>
            <w:r w:rsidRPr="005A657C">
              <w:rPr>
                <w:b/>
                <w:sz w:val="24"/>
                <w:szCs w:val="24"/>
              </w:rPr>
              <w:t>5 or more grades</w:t>
            </w:r>
          </w:p>
          <w:p w:rsidR="00322CA2" w:rsidRPr="005A657C" w:rsidRDefault="00322CA2" w:rsidP="00720401">
            <w:pPr>
              <w:jc w:val="center"/>
              <w:rPr>
                <w:b/>
                <w:sz w:val="24"/>
                <w:szCs w:val="24"/>
              </w:rPr>
            </w:pPr>
            <w:r w:rsidRPr="005A657C">
              <w:rPr>
                <w:b/>
                <w:sz w:val="24"/>
                <w:szCs w:val="24"/>
              </w:rPr>
              <w:t>A* – G</w:t>
            </w:r>
          </w:p>
          <w:p w:rsidR="00322CA2" w:rsidRPr="005A657C" w:rsidRDefault="00322CA2" w:rsidP="00720401">
            <w:pPr>
              <w:jc w:val="center"/>
              <w:rPr>
                <w:b/>
                <w:sz w:val="24"/>
                <w:szCs w:val="24"/>
              </w:rPr>
            </w:pPr>
          </w:p>
        </w:tc>
        <w:tc>
          <w:tcPr>
            <w:tcW w:w="1058" w:type="dxa"/>
            <w:vAlign w:val="center"/>
          </w:tcPr>
          <w:p w:rsidR="00322CA2" w:rsidRPr="005A657C" w:rsidRDefault="00322CA2" w:rsidP="00720401">
            <w:pPr>
              <w:jc w:val="center"/>
              <w:rPr>
                <w:sz w:val="28"/>
                <w:szCs w:val="28"/>
              </w:rPr>
            </w:pPr>
            <w:r w:rsidRPr="005A657C">
              <w:rPr>
                <w:sz w:val="28"/>
                <w:szCs w:val="28"/>
              </w:rPr>
              <w:t>0%</w:t>
            </w:r>
          </w:p>
        </w:tc>
        <w:tc>
          <w:tcPr>
            <w:tcW w:w="1052" w:type="dxa"/>
            <w:vAlign w:val="center"/>
          </w:tcPr>
          <w:p w:rsidR="00322CA2" w:rsidRPr="005A657C" w:rsidRDefault="00322CA2" w:rsidP="00720401">
            <w:pPr>
              <w:jc w:val="center"/>
              <w:rPr>
                <w:sz w:val="28"/>
                <w:szCs w:val="28"/>
              </w:rPr>
            </w:pPr>
            <w:r w:rsidRPr="005A657C">
              <w:rPr>
                <w:sz w:val="28"/>
                <w:szCs w:val="28"/>
              </w:rPr>
              <w:t>38%</w:t>
            </w:r>
          </w:p>
        </w:tc>
        <w:tc>
          <w:tcPr>
            <w:tcW w:w="1053" w:type="dxa"/>
            <w:vAlign w:val="center"/>
          </w:tcPr>
          <w:p w:rsidR="00322CA2" w:rsidRPr="005A657C" w:rsidRDefault="00322CA2" w:rsidP="00720401">
            <w:pPr>
              <w:jc w:val="center"/>
              <w:rPr>
                <w:sz w:val="28"/>
                <w:szCs w:val="28"/>
              </w:rPr>
            </w:pPr>
            <w:r w:rsidRPr="005A657C">
              <w:rPr>
                <w:sz w:val="28"/>
                <w:szCs w:val="28"/>
              </w:rPr>
              <w:t>60%</w:t>
            </w:r>
          </w:p>
        </w:tc>
        <w:tc>
          <w:tcPr>
            <w:tcW w:w="1053" w:type="dxa"/>
            <w:vAlign w:val="center"/>
          </w:tcPr>
          <w:p w:rsidR="00322CA2" w:rsidRPr="005A657C" w:rsidRDefault="00322CA2" w:rsidP="00720401">
            <w:pPr>
              <w:jc w:val="center"/>
              <w:rPr>
                <w:sz w:val="28"/>
                <w:szCs w:val="28"/>
              </w:rPr>
            </w:pPr>
            <w:r w:rsidRPr="005A657C">
              <w:rPr>
                <w:sz w:val="28"/>
                <w:szCs w:val="28"/>
              </w:rPr>
              <w:t>100%</w:t>
            </w:r>
          </w:p>
        </w:tc>
        <w:tc>
          <w:tcPr>
            <w:tcW w:w="1053" w:type="dxa"/>
            <w:vAlign w:val="center"/>
          </w:tcPr>
          <w:p w:rsidR="00322CA2" w:rsidRPr="005A657C" w:rsidRDefault="00322CA2" w:rsidP="00720401">
            <w:pPr>
              <w:jc w:val="center"/>
              <w:rPr>
                <w:sz w:val="28"/>
                <w:szCs w:val="28"/>
              </w:rPr>
            </w:pPr>
            <w:r w:rsidRPr="005A657C">
              <w:rPr>
                <w:sz w:val="28"/>
                <w:szCs w:val="28"/>
              </w:rPr>
              <w:t>57%</w:t>
            </w:r>
          </w:p>
        </w:tc>
        <w:tc>
          <w:tcPr>
            <w:tcW w:w="1049" w:type="dxa"/>
            <w:vAlign w:val="center"/>
          </w:tcPr>
          <w:p w:rsidR="00322CA2" w:rsidRPr="005A657C" w:rsidRDefault="00322CA2" w:rsidP="00720401">
            <w:pPr>
              <w:jc w:val="center"/>
              <w:rPr>
                <w:sz w:val="28"/>
                <w:szCs w:val="28"/>
              </w:rPr>
            </w:pPr>
            <w:r w:rsidRPr="005A657C">
              <w:rPr>
                <w:sz w:val="28"/>
                <w:szCs w:val="28"/>
              </w:rPr>
              <w:t>100%</w:t>
            </w:r>
          </w:p>
        </w:tc>
        <w:tc>
          <w:tcPr>
            <w:tcW w:w="1049" w:type="dxa"/>
            <w:vAlign w:val="center"/>
          </w:tcPr>
          <w:p w:rsidR="00322CA2" w:rsidRPr="005A657C" w:rsidRDefault="00322CA2" w:rsidP="00720401">
            <w:pPr>
              <w:jc w:val="center"/>
              <w:rPr>
                <w:sz w:val="28"/>
                <w:szCs w:val="28"/>
              </w:rPr>
            </w:pPr>
            <w:r w:rsidRPr="005A657C">
              <w:rPr>
                <w:sz w:val="28"/>
                <w:szCs w:val="28"/>
              </w:rPr>
              <w:t>57%</w:t>
            </w:r>
          </w:p>
        </w:tc>
        <w:tc>
          <w:tcPr>
            <w:tcW w:w="326" w:type="dxa"/>
          </w:tcPr>
          <w:p w:rsidR="00F5537A" w:rsidRDefault="00F5537A" w:rsidP="00720401">
            <w:pPr>
              <w:jc w:val="center"/>
              <w:rPr>
                <w:sz w:val="28"/>
                <w:szCs w:val="28"/>
              </w:rPr>
            </w:pPr>
          </w:p>
          <w:p w:rsidR="00322CA2" w:rsidRPr="005A657C" w:rsidRDefault="00F5537A" w:rsidP="00720401">
            <w:pPr>
              <w:jc w:val="center"/>
              <w:rPr>
                <w:sz w:val="28"/>
                <w:szCs w:val="28"/>
              </w:rPr>
            </w:pPr>
            <w:r>
              <w:rPr>
                <w:sz w:val="28"/>
                <w:szCs w:val="28"/>
              </w:rPr>
              <w:t>0%</w:t>
            </w:r>
          </w:p>
        </w:tc>
      </w:tr>
      <w:tr w:rsidR="00322CA2" w:rsidRPr="005A657C" w:rsidTr="00322CA2">
        <w:tc>
          <w:tcPr>
            <w:tcW w:w="1323" w:type="dxa"/>
            <w:vAlign w:val="center"/>
          </w:tcPr>
          <w:p w:rsidR="00322CA2" w:rsidRPr="005A657C" w:rsidRDefault="00322CA2" w:rsidP="00720401">
            <w:pPr>
              <w:jc w:val="center"/>
              <w:rPr>
                <w:b/>
                <w:sz w:val="24"/>
                <w:szCs w:val="24"/>
              </w:rPr>
            </w:pPr>
            <w:r w:rsidRPr="005A657C">
              <w:rPr>
                <w:b/>
                <w:sz w:val="24"/>
                <w:szCs w:val="24"/>
              </w:rPr>
              <w:t>5 or more A* - C</w:t>
            </w:r>
          </w:p>
          <w:p w:rsidR="00322CA2" w:rsidRPr="005A657C" w:rsidRDefault="00322CA2" w:rsidP="00720401">
            <w:pPr>
              <w:jc w:val="center"/>
              <w:rPr>
                <w:b/>
                <w:sz w:val="24"/>
                <w:szCs w:val="24"/>
              </w:rPr>
            </w:pPr>
            <w:r w:rsidRPr="005A657C">
              <w:rPr>
                <w:b/>
                <w:sz w:val="24"/>
                <w:szCs w:val="24"/>
              </w:rPr>
              <w:t>inc M/E</w:t>
            </w:r>
          </w:p>
          <w:p w:rsidR="00322CA2" w:rsidRPr="005A657C" w:rsidRDefault="00322CA2" w:rsidP="00720401">
            <w:pPr>
              <w:jc w:val="center"/>
              <w:rPr>
                <w:b/>
                <w:sz w:val="24"/>
                <w:szCs w:val="24"/>
              </w:rPr>
            </w:pPr>
          </w:p>
        </w:tc>
        <w:tc>
          <w:tcPr>
            <w:tcW w:w="1058" w:type="dxa"/>
            <w:vAlign w:val="center"/>
          </w:tcPr>
          <w:p w:rsidR="00322CA2" w:rsidRPr="005A657C" w:rsidRDefault="00322CA2" w:rsidP="00720401">
            <w:pPr>
              <w:jc w:val="center"/>
              <w:rPr>
                <w:sz w:val="28"/>
                <w:szCs w:val="28"/>
              </w:rPr>
            </w:pPr>
            <w:r w:rsidRPr="005A657C">
              <w:rPr>
                <w:sz w:val="28"/>
                <w:szCs w:val="28"/>
              </w:rPr>
              <w:t>0%</w:t>
            </w:r>
          </w:p>
        </w:tc>
        <w:tc>
          <w:tcPr>
            <w:tcW w:w="1052" w:type="dxa"/>
            <w:vAlign w:val="center"/>
          </w:tcPr>
          <w:p w:rsidR="00322CA2" w:rsidRPr="005A657C" w:rsidRDefault="00322CA2" w:rsidP="00720401">
            <w:pPr>
              <w:jc w:val="center"/>
              <w:rPr>
                <w:sz w:val="28"/>
                <w:szCs w:val="28"/>
              </w:rPr>
            </w:pPr>
            <w:r w:rsidRPr="005A657C">
              <w:rPr>
                <w:sz w:val="28"/>
                <w:szCs w:val="28"/>
              </w:rPr>
              <w:t>0%</w:t>
            </w:r>
          </w:p>
        </w:tc>
        <w:tc>
          <w:tcPr>
            <w:tcW w:w="1053" w:type="dxa"/>
            <w:vAlign w:val="center"/>
          </w:tcPr>
          <w:p w:rsidR="00322CA2" w:rsidRPr="005A657C" w:rsidRDefault="00322CA2" w:rsidP="00720401">
            <w:pPr>
              <w:jc w:val="center"/>
              <w:rPr>
                <w:sz w:val="28"/>
                <w:szCs w:val="28"/>
              </w:rPr>
            </w:pPr>
            <w:r w:rsidRPr="005A657C">
              <w:rPr>
                <w:sz w:val="28"/>
                <w:szCs w:val="28"/>
              </w:rPr>
              <w:t>0%</w:t>
            </w:r>
          </w:p>
        </w:tc>
        <w:tc>
          <w:tcPr>
            <w:tcW w:w="1053" w:type="dxa"/>
            <w:vAlign w:val="center"/>
          </w:tcPr>
          <w:p w:rsidR="00322CA2" w:rsidRPr="005A657C" w:rsidRDefault="00322CA2" w:rsidP="00720401">
            <w:pPr>
              <w:jc w:val="center"/>
              <w:rPr>
                <w:sz w:val="28"/>
                <w:szCs w:val="28"/>
              </w:rPr>
            </w:pPr>
            <w:r w:rsidRPr="005A657C">
              <w:rPr>
                <w:sz w:val="28"/>
                <w:szCs w:val="28"/>
              </w:rPr>
              <w:t>17%</w:t>
            </w:r>
          </w:p>
        </w:tc>
        <w:tc>
          <w:tcPr>
            <w:tcW w:w="1053" w:type="dxa"/>
            <w:vAlign w:val="center"/>
          </w:tcPr>
          <w:p w:rsidR="00322CA2" w:rsidRPr="005A657C" w:rsidRDefault="00322CA2" w:rsidP="00720401">
            <w:pPr>
              <w:jc w:val="center"/>
              <w:rPr>
                <w:sz w:val="28"/>
                <w:szCs w:val="28"/>
              </w:rPr>
            </w:pPr>
            <w:r w:rsidRPr="005A657C">
              <w:rPr>
                <w:sz w:val="28"/>
                <w:szCs w:val="28"/>
              </w:rPr>
              <w:t>29%</w:t>
            </w:r>
          </w:p>
        </w:tc>
        <w:tc>
          <w:tcPr>
            <w:tcW w:w="1049" w:type="dxa"/>
            <w:vAlign w:val="center"/>
          </w:tcPr>
          <w:p w:rsidR="00322CA2" w:rsidRPr="005A657C" w:rsidRDefault="00322CA2" w:rsidP="00720401">
            <w:pPr>
              <w:jc w:val="center"/>
              <w:rPr>
                <w:sz w:val="28"/>
                <w:szCs w:val="28"/>
              </w:rPr>
            </w:pPr>
            <w:r w:rsidRPr="005A657C">
              <w:rPr>
                <w:sz w:val="28"/>
                <w:szCs w:val="28"/>
              </w:rPr>
              <w:t>0%</w:t>
            </w:r>
          </w:p>
        </w:tc>
        <w:tc>
          <w:tcPr>
            <w:tcW w:w="1049" w:type="dxa"/>
            <w:vAlign w:val="center"/>
          </w:tcPr>
          <w:p w:rsidR="00322CA2" w:rsidRPr="005A657C" w:rsidRDefault="00322CA2" w:rsidP="00720401">
            <w:pPr>
              <w:jc w:val="center"/>
              <w:rPr>
                <w:sz w:val="28"/>
                <w:szCs w:val="28"/>
              </w:rPr>
            </w:pPr>
            <w:r w:rsidRPr="005A657C">
              <w:rPr>
                <w:sz w:val="28"/>
                <w:szCs w:val="28"/>
              </w:rPr>
              <w:t>0%</w:t>
            </w:r>
          </w:p>
        </w:tc>
        <w:tc>
          <w:tcPr>
            <w:tcW w:w="326" w:type="dxa"/>
          </w:tcPr>
          <w:p w:rsidR="00F5537A" w:rsidRDefault="00F5537A" w:rsidP="00720401">
            <w:pPr>
              <w:jc w:val="center"/>
              <w:rPr>
                <w:sz w:val="28"/>
                <w:szCs w:val="28"/>
              </w:rPr>
            </w:pPr>
          </w:p>
          <w:p w:rsidR="00322CA2" w:rsidRPr="005A657C" w:rsidRDefault="00F5537A" w:rsidP="00720401">
            <w:pPr>
              <w:jc w:val="center"/>
              <w:rPr>
                <w:sz w:val="28"/>
                <w:szCs w:val="28"/>
              </w:rPr>
            </w:pPr>
            <w:r>
              <w:rPr>
                <w:sz w:val="28"/>
                <w:szCs w:val="28"/>
              </w:rPr>
              <w:t>0%</w:t>
            </w:r>
          </w:p>
        </w:tc>
      </w:tr>
    </w:tbl>
    <w:p w:rsidR="00464E3B" w:rsidRDefault="00464E3B" w:rsidP="00464E3B">
      <w:pPr>
        <w:rPr>
          <w:sz w:val="28"/>
          <w:szCs w:val="28"/>
        </w:rPr>
      </w:pPr>
    </w:p>
    <w:p w:rsidR="00F5537A" w:rsidRPr="005A657C" w:rsidRDefault="00F5537A" w:rsidP="00F5537A">
      <w:pPr>
        <w:jc w:val="both"/>
        <w:rPr>
          <w:sz w:val="28"/>
          <w:szCs w:val="28"/>
        </w:rPr>
      </w:pPr>
      <w:r>
        <w:rPr>
          <w:sz w:val="28"/>
          <w:szCs w:val="28"/>
        </w:rPr>
        <w:t>The GCSE results for the last academic year (2016/17) display a drop in student achievement. This was expected given the students’ prior attainment and ability levels. In response to this the school implemented a bespoke pathway for these identified pupils and an engaging and AQA unit based curriculum was implemented to ensure the students remained motivated in lesson and carried on attending until the end of the year. This was successful and will be adapted / improved to meet the needs of a changing cohort of students who are attending Clifford Holroyde.</w:t>
      </w:r>
    </w:p>
    <w:p w:rsidR="00322CA2" w:rsidRPr="00D27CEA" w:rsidRDefault="00322CA2" w:rsidP="00322CA2">
      <w:pPr>
        <w:spacing w:after="0"/>
        <w:jc w:val="center"/>
        <w:rPr>
          <w:b/>
          <w:sz w:val="28"/>
          <w:szCs w:val="28"/>
        </w:rPr>
      </w:pPr>
      <w:r w:rsidRPr="00D27CEA">
        <w:rPr>
          <w:b/>
          <w:sz w:val="28"/>
          <w:szCs w:val="28"/>
        </w:rPr>
        <w:t>STAFF AND STUDENT VOICE</w:t>
      </w:r>
    </w:p>
    <w:p w:rsidR="00322CA2" w:rsidRPr="00EA6AAF" w:rsidRDefault="00322CA2" w:rsidP="00322CA2">
      <w:pPr>
        <w:jc w:val="center"/>
        <w:rPr>
          <w:b/>
          <w:sz w:val="28"/>
          <w:szCs w:val="28"/>
          <w:u w:val="single"/>
        </w:rPr>
      </w:pPr>
    </w:p>
    <w:p w:rsidR="00322CA2" w:rsidRDefault="00322CA2" w:rsidP="00CF2A63">
      <w:pPr>
        <w:spacing w:after="0"/>
        <w:rPr>
          <w:sz w:val="28"/>
          <w:szCs w:val="28"/>
        </w:rPr>
      </w:pPr>
      <w:r w:rsidRPr="00EA6AAF">
        <w:rPr>
          <w:sz w:val="28"/>
          <w:szCs w:val="28"/>
        </w:rPr>
        <w:t>All students and teaching staff were given the opportunity to complete a questionnaire regarding progress. The data from all replies received produced the following results.</w:t>
      </w:r>
    </w:p>
    <w:p w:rsidR="00CF2A63" w:rsidRPr="00CF2A63" w:rsidRDefault="00CF2A63" w:rsidP="00CF2A63">
      <w:pPr>
        <w:spacing w:after="0"/>
        <w:rPr>
          <w:sz w:val="28"/>
          <w:szCs w:val="28"/>
        </w:rPr>
      </w:pPr>
    </w:p>
    <w:p w:rsidR="00322CA2" w:rsidRPr="00D27CEA" w:rsidRDefault="00322CA2" w:rsidP="00322CA2">
      <w:pPr>
        <w:spacing w:after="360"/>
        <w:rPr>
          <w:b/>
          <w:sz w:val="28"/>
          <w:szCs w:val="28"/>
        </w:rPr>
      </w:pPr>
      <w:r w:rsidRPr="00D27CEA">
        <w:rPr>
          <w:b/>
          <w:sz w:val="28"/>
          <w:szCs w:val="28"/>
        </w:rPr>
        <w:t>Students</w:t>
      </w:r>
    </w:p>
    <w:p w:rsidR="00322CA2" w:rsidRPr="00EA6AAF" w:rsidRDefault="00322CA2" w:rsidP="00322CA2">
      <w:pPr>
        <w:spacing w:after="360"/>
        <w:rPr>
          <w:sz w:val="28"/>
          <w:szCs w:val="28"/>
        </w:rPr>
      </w:pPr>
      <w:r w:rsidRPr="00EA6AAF">
        <w:rPr>
          <w:sz w:val="28"/>
          <w:szCs w:val="28"/>
        </w:rPr>
        <w:t>94% of students say they have made at least quite good progress in lessons since September 2016.</w:t>
      </w:r>
    </w:p>
    <w:p w:rsidR="00322CA2" w:rsidRPr="00EA6AAF" w:rsidRDefault="00322CA2" w:rsidP="00322CA2">
      <w:pPr>
        <w:spacing w:after="360"/>
        <w:rPr>
          <w:sz w:val="28"/>
          <w:szCs w:val="28"/>
        </w:rPr>
      </w:pPr>
      <w:r w:rsidRPr="00EA6AAF">
        <w:rPr>
          <w:sz w:val="28"/>
          <w:szCs w:val="28"/>
        </w:rPr>
        <w:lastRenderedPageBreak/>
        <w:t>78% of students say they have made more progress in lessons this academic year compared to last year.</w:t>
      </w:r>
    </w:p>
    <w:p w:rsidR="00322CA2" w:rsidRPr="00EA6AAF" w:rsidRDefault="00322CA2" w:rsidP="00CF2A63">
      <w:pPr>
        <w:spacing w:after="360"/>
        <w:rPr>
          <w:sz w:val="28"/>
          <w:szCs w:val="28"/>
        </w:rPr>
      </w:pPr>
      <w:r w:rsidRPr="00EA6AAF">
        <w:rPr>
          <w:sz w:val="28"/>
          <w:szCs w:val="28"/>
        </w:rPr>
        <w:t>50% of students say they know their present levels/grades in most of their subjects.</w:t>
      </w:r>
    </w:p>
    <w:p w:rsidR="00322CA2" w:rsidRPr="00D27CEA" w:rsidRDefault="00322CA2" w:rsidP="00322CA2">
      <w:pPr>
        <w:spacing w:after="360"/>
        <w:rPr>
          <w:b/>
          <w:sz w:val="28"/>
          <w:szCs w:val="28"/>
        </w:rPr>
      </w:pPr>
      <w:r w:rsidRPr="00D27CEA">
        <w:rPr>
          <w:b/>
          <w:sz w:val="28"/>
          <w:szCs w:val="28"/>
        </w:rPr>
        <w:t>Teachers</w:t>
      </w:r>
    </w:p>
    <w:p w:rsidR="00322CA2" w:rsidRPr="00EA6AAF" w:rsidRDefault="00322CA2" w:rsidP="00322CA2">
      <w:pPr>
        <w:spacing w:after="360"/>
        <w:rPr>
          <w:sz w:val="28"/>
          <w:szCs w:val="28"/>
        </w:rPr>
      </w:pPr>
      <w:r w:rsidRPr="00EA6AAF">
        <w:rPr>
          <w:sz w:val="28"/>
          <w:szCs w:val="28"/>
        </w:rPr>
        <w:t>100% of teachers say that most students have made at least quite good progress in their lessons since September 2016.</w:t>
      </w:r>
    </w:p>
    <w:p w:rsidR="00322CA2" w:rsidRPr="00EA6AAF" w:rsidRDefault="00322CA2" w:rsidP="00322CA2">
      <w:pPr>
        <w:spacing w:after="360"/>
        <w:rPr>
          <w:sz w:val="28"/>
          <w:szCs w:val="28"/>
        </w:rPr>
      </w:pPr>
      <w:r w:rsidRPr="00EA6AAF">
        <w:rPr>
          <w:sz w:val="28"/>
          <w:szCs w:val="28"/>
        </w:rPr>
        <w:t>100% of teachers say that students have made about the same or better progress in lessons this academic year compared to last year.</w:t>
      </w:r>
    </w:p>
    <w:p w:rsidR="00322CA2" w:rsidRPr="00EA6AAF" w:rsidRDefault="00322CA2" w:rsidP="00322CA2">
      <w:pPr>
        <w:spacing w:after="360"/>
        <w:rPr>
          <w:sz w:val="28"/>
          <w:szCs w:val="28"/>
        </w:rPr>
      </w:pPr>
      <w:r w:rsidRPr="00EA6AAF">
        <w:rPr>
          <w:sz w:val="28"/>
          <w:szCs w:val="28"/>
        </w:rPr>
        <w:t>86% of teachers say that most students in their lessons know their present level/grade.</w:t>
      </w:r>
    </w:p>
    <w:p w:rsidR="00322CA2" w:rsidRPr="00EA6AAF" w:rsidRDefault="00322CA2" w:rsidP="00322CA2">
      <w:pPr>
        <w:rPr>
          <w:sz w:val="28"/>
          <w:szCs w:val="28"/>
        </w:rPr>
      </w:pPr>
      <w:r w:rsidRPr="00EA6AAF">
        <w:rPr>
          <w:sz w:val="28"/>
          <w:szCs w:val="28"/>
        </w:rPr>
        <w:t>71% of teachers say that most students in their lessons know their end of year target.</w:t>
      </w:r>
    </w:p>
    <w:p w:rsidR="00322CA2" w:rsidRPr="00EA6AAF" w:rsidRDefault="00322CA2" w:rsidP="00322CA2">
      <w:pPr>
        <w:shd w:val="clear" w:color="auto" w:fill="FFFF00"/>
        <w:rPr>
          <w:b/>
          <w:sz w:val="28"/>
          <w:szCs w:val="28"/>
        </w:rPr>
      </w:pPr>
      <w:r w:rsidRPr="00EA6AAF">
        <w:rPr>
          <w:b/>
          <w:sz w:val="28"/>
          <w:szCs w:val="28"/>
        </w:rPr>
        <w:t xml:space="preserve">This demonstrates that almost all students feel they have made “quite good” or better progress in lessons this academic year. </w:t>
      </w:r>
    </w:p>
    <w:p w:rsidR="00322CA2" w:rsidRPr="00EA6AAF" w:rsidRDefault="00322CA2" w:rsidP="00322CA2">
      <w:pPr>
        <w:spacing w:after="0"/>
        <w:rPr>
          <w:b/>
          <w:sz w:val="28"/>
          <w:szCs w:val="28"/>
        </w:rPr>
      </w:pPr>
    </w:p>
    <w:p w:rsidR="00322CA2" w:rsidRPr="00EA6AAF" w:rsidRDefault="00322CA2" w:rsidP="00322CA2">
      <w:pPr>
        <w:spacing w:after="0"/>
        <w:rPr>
          <w:b/>
          <w:sz w:val="28"/>
          <w:szCs w:val="28"/>
        </w:rPr>
      </w:pPr>
    </w:p>
    <w:p w:rsidR="00322CA2" w:rsidRPr="00EA6AAF" w:rsidRDefault="00322CA2" w:rsidP="00322CA2">
      <w:pPr>
        <w:shd w:val="clear" w:color="auto" w:fill="FFFF00"/>
        <w:spacing w:after="0"/>
        <w:rPr>
          <w:b/>
          <w:sz w:val="28"/>
          <w:szCs w:val="28"/>
        </w:rPr>
      </w:pPr>
      <w:r w:rsidRPr="00EA6AAF">
        <w:rPr>
          <w:b/>
          <w:sz w:val="28"/>
          <w:szCs w:val="28"/>
        </w:rPr>
        <w:t>This demonstrates that teachers feel that most students have made “quite good” or better progress in lessons this academic year.</w:t>
      </w:r>
    </w:p>
    <w:p w:rsidR="00322CA2" w:rsidRPr="00EA6AAF" w:rsidRDefault="00322CA2" w:rsidP="00322CA2">
      <w:pPr>
        <w:spacing w:after="0"/>
        <w:rPr>
          <w:sz w:val="28"/>
          <w:szCs w:val="28"/>
        </w:rPr>
      </w:pPr>
    </w:p>
    <w:p w:rsidR="00322CA2" w:rsidRDefault="00322CA2" w:rsidP="00322CA2">
      <w:pPr>
        <w:spacing w:after="0"/>
        <w:rPr>
          <w:sz w:val="28"/>
          <w:szCs w:val="28"/>
        </w:rPr>
      </w:pPr>
    </w:p>
    <w:p w:rsidR="00322CA2" w:rsidRPr="0082733A" w:rsidRDefault="00322CA2" w:rsidP="00322CA2">
      <w:pPr>
        <w:shd w:val="clear" w:color="auto" w:fill="FFFF00"/>
        <w:spacing w:after="0"/>
        <w:rPr>
          <w:b/>
          <w:sz w:val="28"/>
          <w:szCs w:val="28"/>
        </w:rPr>
      </w:pPr>
      <w:r w:rsidRPr="0082733A">
        <w:rPr>
          <w:b/>
          <w:sz w:val="28"/>
          <w:szCs w:val="28"/>
        </w:rPr>
        <w:t>This demonstrates that most students feel that they have made more progress in 2016/17.</w:t>
      </w:r>
    </w:p>
    <w:p w:rsidR="00322CA2" w:rsidRDefault="00322CA2" w:rsidP="00322CA2">
      <w:pPr>
        <w:spacing w:after="0"/>
        <w:rPr>
          <w:sz w:val="28"/>
          <w:szCs w:val="28"/>
        </w:rPr>
      </w:pPr>
    </w:p>
    <w:p w:rsidR="00322CA2" w:rsidRDefault="00322CA2" w:rsidP="00322CA2">
      <w:pPr>
        <w:spacing w:after="0"/>
        <w:rPr>
          <w:sz w:val="28"/>
          <w:szCs w:val="28"/>
        </w:rPr>
      </w:pPr>
    </w:p>
    <w:p w:rsidR="00322CA2" w:rsidRPr="0082733A" w:rsidRDefault="00322CA2" w:rsidP="00322CA2">
      <w:pPr>
        <w:shd w:val="clear" w:color="auto" w:fill="FFFF00"/>
        <w:spacing w:after="0"/>
        <w:rPr>
          <w:b/>
          <w:sz w:val="28"/>
          <w:szCs w:val="28"/>
        </w:rPr>
      </w:pPr>
      <w:r w:rsidRPr="0082733A">
        <w:rPr>
          <w:b/>
          <w:sz w:val="28"/>
          <w:szCs w:val="28"/>
        </w:rPr>
        <w:t>This demonstrates that teachers feel that most students have made more progress in 2016/17.</w:t>
      </w:r>
    </w:p>
    <w:p w:rsidR="00EF0977" w:rsidRDefault="00EF0977" w:rsidP="00EF0977">
      <w:pPr>
        <w:spacing w:before="100" w:beforeAutospacing="1" w:after="100" w:afterAutospacing="1" w:line="240" w:lineRule="auto"/>
        <w:outlineLvl w:val="1"/>
        <w:rPr>
          <w:sz w:val="28"/>
          <w:szCs w:val="28"/>
        </w:rPr>
      </w:pPr>
    </w:p>
    <w:p w:rsidR="00EF0977" w:rsidRPr="00D27CEA" w:rsidRDefault="00EF0977" w:rsidP="00EF0977">
      <w:pPr>
        <w:spacing w:before="100" w:beforeAutospacing="1" w:after="100" w:afterAutospacing="1" w:line="240" w:lineRule="auto"/>
        <w:jc w:val="center"/>
        <w:outlineLvl w:val="1"/>
        <w:rPr>
          <w:rFonts w:eastAsia="Times New Roman" w:cstheme="minorHAnsi"/>
          <w:b/>
          <w:bCs/>
          <w:sz w:val="28"/>
          <w:szCs w:val="28"/>
          <w:lang w:val="en" w:eastAsia="en-GB"/>
        </w:rPr>
      </w:pPr>
      <w:r w:rsidRPr="00D27CEA">
        <w:rPr>
          <w:rFonts w:eastAsia="Times New Roman" w:cstheme="minorHAnsi"/>
          <w:b/>
          <w:bCs/>
          <w:sz w:val="28"/>
          <w:szCs w:val="28"/>
          <w:lang w:val="en" w:eastAsia="en-GB"/>
        </w:rPr>
        <w:t>Pupil destinations - what pupils did after key stage 4</w:t>
      </w:r>
    </w:p>
    <w:p w:rsidR="00EF0977" w:rsidRPr="00EF0977" w:rsidRDefault="00EF0977" w:rsidP="00EF0977">
      <w:pPr>
        <w:spacing w:before="100" w:beforeAutospacing="1" w:after="100" w:afterAutospacing="1" w:line="240" w:lineRule="auto"/>
        <w:rPr>
          <w:rFonts w:eastAsia="Times New Roman" w:cstheme="minorHAnsi"/>
          <w:sz w:val="28"/>
          <w:szCs w:val="28"/>
          <w:lang w:val="en" w:eastAsia="en-GB"/>
        </w:rPr>
      </w:pPr>
      <w:r w:rsidRPr="00EF0977">
        <w:rPr>
          <w:rFonts w:eastAsia="Times New Roman" w:cstheme="minorHAnsi"/>
          <w:sz w:val="28"/>
          <w:szCs w:val="28"/>
          <w:lang w:val="en" w:eastAsia="en-GB"/>
        </w:rPr>
        <w:t>This data, published in October 20</w:t>
      </w:r>
      <w:r>
        <w:rPr>
          <w:rFonts w:eastAsia="Times New Roman" w:cstheme="minorHAnsi"/>
          <w:sz w:val="28"/>
          <w:szCs w:val="28"/>
          <w:lang w:val="en" w:eastAsia="en-GB"/>
        </w:rPr>
        <w:t xml:space="preserve">17, is for pupils who completed </w:t>
      </w:r>
      <w:r w:rsidRPr="00EF0977">
        <w:rPr>
          <w:rFonts w:eastAsia="Times New Roman" w:cstheme="minorHAnsi"/>
          <w:sz w:val="28"/>
          <w:szCs w:val="28"/>
          <w:u w:val="single"/>
          <w:lang w:val="en" w:eastAsia="en-GB"/>
        </w:rPr>
        <w:t>key stage 4</w:t>
      </w:r>
      <w:r w:rsidRPr="00EF0977">
        <w:rPr>
          <w:rFonts w:eastAsia="Times New Roman" w:cstheme="minorHAnsi"/>
          <w:sz w:val="28"/>
          <w:szCs w:val="28"/>
          <w:lang w:val="en" w:eastAsia="en-GB"/>
        </w:rPr>
        <w:t xml:space="preserve"> in 2015, which is the most recent data available.</w:t>
      </w:r>
    </w:p>
    <w:p w:rsidR="00EF0977" w:rsidRPr="00EF0977" w:rsidRDefault="00EF0977">
      <w:pPr>
        <w:rPr>
          <w:sz w:val="28"/>
          <w:szCs w:val="28"/>
        </w:rPr>
      </w:pPr>
      <w:r w:rsidRPr="00EF0977">
        <w:rPr>
          <w:sz w:val="28"/>
          <w:szCs w:val="28"/>
        </w:rPr>
        <w:t>Total number of pupils included in destination measures = 13</w:t>
      </w:r>
    </w:p>
    <w:p w:rsidR="00EF0977" w:rsidRPr="00EF0977" w:rsidRDefault="00EF0977">
      <w:pPr>
        <w:rPr>
          <w:sz w:val="28"/>
          <w:szCs w:val="28"/>
        </w:rPr>
      </w:pPr>
      <w:r w:rsidRPr="00EF0977">
        <w:rPr>
          <w:sz w:val="28"/>
          <w:szCs w:val="28"/>
        </w:rPr>
        <w:t xml:space="preserve">Pupils staying in education or employment for at least two terms after key stage 4 = </w:t>
      </w:r>
      <w:r w:rsidRPr="00EF0977">
        <w:rPr>
          <w:b/>
          <w:sz w:val="28"/>
          <w:szCs w:val="28"/>
        </w:rPr>
        <w:t>54%</w:t>
      </w:r>
    </w:p>
    <w:sectPr w:rsidR="00EF0977" w:rsidRPr="00EF09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26" w:rsidRDefault="00A61326" w:rsidP="002A2284">
      <w:pPr>
        <w:spacing w:after="0" w:line="240" w:lineRule="auto"/>
      </w:pPr>
      <w:r>
        <w:separator/>
      </w:r>
    </w:p>
  </w:endnote>
  <w:endnote w:type="continuationSeparator" w:id="0">
    <w:p w:rsidR="00A61326" w:rsidRDefault="00A61326" w:rsidP="002A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22187"/>
      <w:docPartObj>
        <w:docPartGallery w:val="Page Numbers (Bottom of Page)"/>
        <w:docPartUnique/>
      </w:docPartObj>
    </w:sdtPr>
    <w:sdtEndPr>
      <w:rPr>
        <w:noProof/>
      </w:rPr>
    </w:sdtEndPr>
    <w:sdtContent>
      <w:p w:rsidR="00D27CEA" w:rsidRDefault="00D27CE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27CEA" w:rsidRDefault="00D2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26" w:rsidRDefault="00A61326" w:rsidP="002A2284">
      <w:pPr>
        <w:spacing w:after="0" w:line="240" w:lineRule="auto"/>
      </w:pPr>
      <w:r>
        <w:separator/>
      </w:r>
    </w:p>
  </w:footnote>
  <w:footnote w:type="continuationSeparator" w:id="0">
    <w:p w:rsidR="00A61326" w:rsidRDefault="00A61326" w:rsidP="002A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49" w:rsidRDefault="00D27CEA" w:rsidP="00A10A49">
    <w:pPr>
      <w:pStyle w:val="Header"/>
      <w:jc w:val="center"/>
    </w:pPr>
    <w:r>
      <w:rPr>
        <w:noProof/>
      </w:rPr>
      <w:drawing>
        <wp:inline distT="0" distB="0" distL="0" distR="0" wp14:anchorId="1609BD0D" wp14:editId="0EA6460F">
          <wp:extent cx="762000" cy="762000"/>
          <wp:effectExtent l="0" t="0" r="0" b="0"/>
          <wp:docPr id="1" name="Picture 2" descr="cid:image001.jpg@01D3411C.01A5A900"/>
          <wp:cNvGraphicFramePr/>
          <a:graphic xmlns:a="http://schemas.openxmlformats.org/drawingml/2006/main">
            <a:graphicData uri="http://schemas.openxmlformats.org/drawingml/2006/picture">
              <pic:pic xmlns:pic="http://schemas.openxmlformats.org/drawingml/2006/picture">
                <pic:nvPicPr>
                  <pic:cNvPr id="1" name="Picture 2" descr="cid:image001.jpg@01D3411C.01A5A9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27CEA" w:rsidRDefault="00D27CEA" w:rsidP="00A10A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68C3"/>
    <w:multiLevelType w:val="hybridMultilevel"/>
    <w:tmpl w:val="85B85606"/>
    <w:lvl w:ilvl="0" w:tplc="43E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B76630"/>
    <w:multiLevelType w:val="hybridMultilevel"/>
    <w:tmpl w:val="A1A6E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12CE7"/>
    <w:multiLevelType w:val="hybridMultilevel"/>
    <w:tmpl w:val="B858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02969"/>
    <w:multiLevelType w:val="hybridMultilevel"/>
    <w:tmpl w:val="66682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E2496"/>
    <w:multiLevelType w:val="hybridMultilevel"/>
    <w:tmpl w:val="213A2654"/>
    <w:lvl w:ilvl="0" w:tplc="6E0AE97E">
      <w:start w:val="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0E0873"/>
    <w:multiLevelType w:val="hybridMultilevel"/>
    <w:tmpl w:val="C7602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2C"/>
    <w:rsid w:val="000E488A"/>
    <w:rsid w:val="001A6F51"/>
    <w:rsid w:val="002A2284"/>
    <w:rsid w:val="002B2812"/>
    <w:rsid w:val="00322CA2"/>
    <w:rsid w:val="00417EBC"/>
    <w:rsid w:val="00441255"/>
    <w:rsid w:val="00464E3B"/>
    <w:rsid w:val="00680D2C"/>
    <w:rsid w:val="0073307C"/>
    <w:rsid w:val="00746811"/>
    <w:rsid w:val="009B2849"/>
    <w:rsid w:val="009E2577"/>
    <w:rsid w:val="00A10A49"/>
    <w:rsid w:val="00A61326"/>
    <w:rsid w:val="00B674B3"/>
    <w:rsid w:val="00BF48C6"/>
    <w:rsid w:val="00C85193"/>
    <w:rsid w:val="00CF2A63"/>
    <w:rsid w:val="00D27CEA"/>
    <w:rsid w:val="00DD74B8"/>
    <w:rsid w:val="00EF0977"/>
    <w:rsid w:val="00F5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A78FB"/>
  <w15:docId w15:val="{9B7163D4-3EB5-494E-8106-A09DA2DA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2C"/>
    <w:pPr>
      <w:ind w:left="720"/>
      <w:contextualSpacing/>
    </w:pPr>
    <w:rPr>
      <w:rFonts w:eastAsiaTheme="minorEastAsia"/>
      <w:lang w:eastAsia="en-GB"/>
    </w:rPr>
  </w:style>
  <w:style w:type="table" w:styleId="TableGrid">
    <w:name w:val="Table Grid"/>
    <w:basedOn w:val="TableNormal"/>
    <w:uiPriority w:val="59"/>
    <w:rsid w:val="0068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2C"/>
    <w:rPr>
      <w:rFonts w:ascii="Tahoma" w:hAnsi="Tahoma" w:cs="Tahoma"/>
      <w:sz w:val="16"/>
      <w:szCs w:val="16"/>
    </w:rPr>
  </w:style>
  <w:style w:type="paragraph" w:styleId="Header">
    <w:name w:val="header"/>
    <w:basedOn w:val="Normal"/>
    <w:link w:val="HeaderChar"/>
    <w:uiPriority w:val="99"/>
    <w:unhideWhenUsed/>
    <w:rsid w:val="002A2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84"/>
  </w:style>
  <w:style w:type="paragraph" w:styleId="Footer">
    <w:name w:val="footer"/>
    <w:basedOn w:val="Normal"/>
    <w:link w:val="FooterChar"/>
    <w:uiPriority w:val="99"/>
    <w:unhideWhenUsed/>
    <w:rsid w:val="002A2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6555">
      <w:bodyDiv w:val="1"/>
      <w:marLeft w:val="0"/>
      <w:marRight w:val="0"/>
      <w:marTop w:val="0"/>
      <w:marBottom w:val="0"/>
      <w:divBdr>
        <w:top w:val="none" w:sz="0" w:space="0" w:color="auto"/>
        <w:left w:val="none" w:sz="0" w:space="0" w:color="auto"/>
        <w:bottom w:val="none" w:sz="0" w:space="0" w:color="auto"/>
        <w:right w:val="none" w:sz="0" w:space="0" w:color="auto"/>
      </w:divBdr>
      <w:divsChild>
        <w:div w:id="2012952774">
          <w:marLeft w:val="0"/>
          <w:marRight w:val="0"/>
          <w:marTop w:val="0"/>
          <w:marBottom w:val="0"/>
          <w:divBdr>
            <w:top w:val="none" w:sz="0" w:space="0" w:color="auto"/>
            <w:left w:val="none" w:sz="0" w:space="0" w:color="auto"/>
            <w:bottom w:val="none" w:sz="0" w:space="0" w:color="auto"/>
            <w:right w:val="none" w:sz="0" w:space="0" w:color="auto"/>
          </w:divBdr>
          <w:divsChild>
            <w:div w:id="205727743">
              <w:marLeft w:val="0"/>
              <w:marRight w:val="0"/>
              <w:marTop w:val="0"/>
              <w:marBottom w:val="0"/>
              <w:divBdr>
                <w:top w:val="none" w:sz="0" w:space="0" w:color="auto"/>
                <w:left w:val="none" w:sz="0" w:space="0" w:color="auto"/>
                <w:bottom w:val="none" w:sz="0" w:space="0" w:color="auto"/>
                <w:right w:val="none" w:sz="0" w:space="0" w:color="auto"/>
              </w:divBdr>
              <w:divsChild>
                <w:div w:id="959795973">
                  <w:marLeft w:val="0"/>
                  <w:marRight w:val="0"/>
                  <w:marTop w:val="0"/>
                  <w:marBottom w:val="0"/>
                  <w:divBdr>
                    <w:top w:val="none" w:sz="0" w:space="0" w:color="auto"/>
                    <w:left w:val="none" w:sz="0" w:space="0" w:color="auto"/>
                    <w:bottom w:val="none" w:sz="0" w:space="0" w:color="auto"/>
                    <w:right w:val="none" w:sz="0" w:space="0" w:color="auto"/>
                  </w:divBdr>
                  <w:divsChild>
                    <w:div w:id="25448708">
                      <w:marLeft w:val="0"/>
                      <w:marRight w:val="0"/>
                      <w:marTop w:val="0"/>
                      <w:marBottom w:val="0"/>
                      <w:divBdr>
                        <w:top w:val="none" w:sz="0" w:space="0" w:color="auto"/>
                        <w:left w:val="none" w:sz="0" w:space="0" w:color="auto"/>
                        <w:bottom w:val="none" w:sz="0" w:space="0" w:color="auto"/>
                        <w:right w:val="none" w:sz="0" w:space="0" w:color="auto"/>
                      </w:divBdr>
                      <w:divsChild>
                        <w:div w:id="676268479">
                          <w:marLeft w:val="0"/>
                          <w:marRight w:val="0"/>
                          <w:marTop w:val="0"/>
                          <w:marBottom w:val="0"/>
                          <w:divBdr>
                            <w:top w:val="none" w:sz="0" w:space="0" w:color="auto"/>
                            <w:left w:val="none" w:sz="0" w:space="0" w:color="auto"/>
                            <w:bottom w:val="none" w:sz="0" w:space="0" w:color="auto"/>
                            <w:right w:val="none" w:sz="0" w:space="0" w:color="auto"/>
                          </w:divBdr>
                          <w:divsChild>
                            <w:div w:id="2015455324">
                              <w:marLeft w:val="0"/>
                              <w:marRight w:val="0"/>
                              <w:marTop w:val="0"/>
                              <w:marBottom w:val="0"/>
                              <w:divBdr>
                                <w:top w:val="none" w:sz="0" w:space="0" w:color="auto"/>
                                <w:left w:val="none" w:sz="0" w:space="0" w:color="auto"/>
                                <w:bottom w:val="none" w:sz="0" w:space="0" w:color="auto"/>
                                <w:right w:val="none" w:sz="0" w:space="0" w:color="auto"/>
                              </w:divBdr>
                              <w:divsChild>
                                <w:div w:id="196084089">
                                  <w:marLeft w:val="0"/>
                                  <w:marRight w:val="0"/>
                                  <w:marTop w:val="0"/>
                                  <w:marBottom w:val="0"/>
                                  <w:divBdr>
                                    <w:top w:val="none" w:sz="0" w:space="0" w:color="auto"/>
                                    <w:left w:val="none" w:sz="0" w:space="0" w:color="auto"/>
                                    <w:bottom w:val="none" w:sz="0" w:space="0" w:color="auto"/>
                                    <w:right w:val="none" w:sz="0" w:space="0" w:color="auto"/>
                                  </w:divBdr>
                                  <w:divsChild>
                                    <w:div w:id="19650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3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u="sng">
                <a:solidFill>
                  <a:sysClr val="windowText" lastClr="000000"/>
                </a:solidFill>
              </a:rPr>
              <a:t>WHOLE</a:t>
            </a:r>
            <a:r>
              <a:rPr lang="en-US" b="1" u="sng" baseline="0">
                <a:solidFill>
                  <a:sysClr val="windowText" lastClr="000000"/>
                </a:solidFill>
              </a:rPr>
              <a:t> SCHOOL PROGRESS TREND</a:t>
            </a:r>
            <a:endParaRPr lang="en-US" b="1" u="sng">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429206765820939"/>
          <c:y val="0.14718253968253969"/>
          <c:w val="0.68889823219255686"/>
          <c:h val="0.76076084239470065"/>
        </c:manualLayout>
      </c:layout>
      <c:lineChart>
        <c:grouping val="standard"/>
        <c:varyColors val="0"/>
        <c:ser>
          <c:idx val="0"/>
          <c:order val="0"/>
          <c:tx>
            <c:strRef>
              <c:f>Sheet1!$B$1</c:f>
              <c:strCache>
                <c:ptCount val="1"/>
                <c:pt idx="0">
                  <c:v>Average Number of Steps of Progress</c:v>
                </c:pt>
              </c:strCache>
            </c:strRef>
          </c:tx>
          <c:spPr>
            <a:ln w="28575" cap="rnd">
              <a:solidFill>
                <a:schemeClr val="accent1"/>
              </a:solidFill>
              <a:round/>
            </a:ln>
            <a:effectLst/>
          </c:spPr>
          <c:marker>
            <c:symbol val="none"/>
          </c:marker>
          <c:trendline>
            <c:name>Trend Line</c:name>
            <c:spPr>
              <a:ln w="19050" cap="rnd">
                <a:solidFill>
                  <a:schemeClr val="accent1"/>
                </a:solidFill>
                <a:prstDash val="sysDot"/>
              </a:ln>
              <a:effectLst/>
            </c:spPr>
            <c:trendlineType val="linear"/>
            <c:dispRSqr val="0"/>
            <c:dispEq val="0"/>
          </c:trendline>
          <c:cat>
            <c:strRef>
              <c:f>Sheet1!$A$2:$A$6</c:f>
              <c:strCache>
                <c:ptCount val="5"/>
                <c:pt idx="0">
                  <c:v>2012/13</c:v>
                </c:pt>
                <c:pt idx="1">
                  <c:v>2013/14</c:v>
                </c:pt>
                <c:pt idx="2">
                  <c:v>2014/15</c:v>
                </c:pt>
                <c:pt idx="3">
                  <c:v>2015/16</c:v>
                </c:pt>
                <c:pt idx="4">
                  <c:v>2016/17</c:v>
                </c:pt>
              </c:strCache>
            </c:strRef>
          </c:cat>
          <c:val>
            <c:numRef>
              <c:f>Sheet1!$B$2:$B$6</c:f>
              <c:numCache>
                <c:formatCode>General</c:formatCode>
                <c:ptCount val="5"/>
                <c:pt idx="0">
                  <c:v>1.5</c:v>
                </c:pt>
                <c:pt idx="1">
                  <c:v>1.6</c:v>
                </c:pt>
                <c:pt idx="2">
                  <c:v>1.9</c:v>
                </c:pt>
                <c:pt idx="3">
                  <c:v>1.6</c:v>
                </c:pt>
                <c:pt idx="4">
                  <c:v>1.6</c:v>
                </c:pt>
              </c:numCache>
            </c:numRef>
          </c:val>
          <c:smooth val="0"/>
          <c:extLst>
            <c:ext xmlns:c16="http://schemas.microsoft.com/office/drawing/2014/chart" uri="{C3380CC4-5D6E-409C-BE32-E72D297353CC}">
              <c16:uniqueId val="{00000001-1EEF-4F34-84E4-AD7D33B723FE}"/>
            </c:ext>
          </c:extLst>
        </c:ser>
        <c:dLbls>
          <c:showLegendKey val="0"/>
          <c:showVal val="0"/>
          <c:showCatName val="0"/>
          <c:showSerName val="0"/>
          <c:showPercent val="0"/>
          <c:showBubbleSize val="0"/>
        </c:dLbls>
        <c:smooth val="0"/>
        <c:axId val="545474720"/>
        <c:axId val="545475504"/>
      </c:lineChart>
      <c:catAx>
        <c:axId val="54547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545475504"/>
        <c:crosses val="autoZero"/>
        <c:auto val="1"/>
        <c:lblAlgn val="ctr"/>
        <c:lblOffset val="100"/>
        <c:noMultiLvlLbl val="0"/>
      </c:catAx>
      <c:valAx>
        <c:axId val="545475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rPr>
                  <a:t>Steps</a:t>
                </a:r>
                <a:r>
                  <a:rPr lang="en-GB" b="1" baseline="0">
                    <a:solidFill>
                      <a:sysClr val="windowText" lastClr="000000"/>
                    </a:solidFill>
                  </a:rPr>
                  <a:t> of Progress</a:t>
                </a:r>
                <a:endParaRPr lang="en-GB"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545474720"/>
        <c:crosses val="autoZero"/>
        <c:crossBetween val="between"/>
      </c:valAx>
      <c:spPr>
        <a:noFill/>
        <a:ln>
          <a:noFill/>
        </a:ln>
        <a:effectLst/>
      </c:spPr>
    </c:plotArea>
    <c:legend>
      <c:legendPos val="r"/>
      <c:layout>
        <c:manualLayout>
          <c:xMode val="edge"/>
          <c:yMode val="edge"/>
          <c:x val="0.81410242514090714"/>
          <c:y val="0.38559461317335331"/>
          <c:w val="0.17200860827121298"/>
          <c:h val="0.38789776277965254"/>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1628</Words>
  <Characters>9282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Clifford Holroyde Specialist SEN College</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 OXLEY</dc:creator>
  <cp:lastModifiedBy>David Murphy</cp:lastModifiedBy>
  <cp:revision>2</cp:revision>
  <cp:lastPrinted>2017-10-13T10:45:00Z</cp:lastPrinted>
  <dcterms:created xsi:type="dcterms:W3CDTF">2017-10-16T10:03:00Z</dcterms:created>
  <dcterms:modified xsi:type="dcterms:W3CDTF">2017-10-16T10:03:00Z</dcterms:modified>
</cp:coreProperties>
</file>